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E69F7" w:rsidRDefault="00DE69F7" w:rsidP="00975CCF">
      <w:pPr>
        <w:widowControl w:val="0"/>
        <w:autoSpaceDE w:val="0"/>
        <w:autoSpaceDN w:val="0"/>
        <w:adjustRightInd w:val="0"/>
        <w:jc w:val="both"/>
        <w:rPr>
          <w:b/>
        </w:rPr>
      </w:pPr>
    </w:p>
    <w:p w:rsidR="00C91CAC" w:rsidRDefault="00C91CAC" w:rsidP="00975CCF">
      <w:pPr>
        <w:widowControl w:val="0"/>
        <w:autoSpaceDE w:val="0"/>
        <w:autoSpaceDN w:val="0"/>
        <w:adjustRightInd w:val="0"/>
        <w:jc w:val="both"/>
        <w:rPr>
          <w:b/>
        </w:rPr>
      </w:pPr>
    </w:p>
    <w:p w:rsidR="001D2B15" w:rsidRPr="001B5E1E" w:rsidRDefault="001D2B15" w:rsidP="001D2B15">
      <w:pPr>
        <w:widowControl w:val="0"/>
        <w:autoSpaceDE w:val="0"/>
        <w:autoSpaceDN w:val="0"/>
        <w:adjustRightInd w:val="0"/>
        <w:jc w:val="both"/>
        <w:rPr>
          <w:b/>
          <w:sz w:val="28"/>
          <w:szCs w:val="28"/>
          <w:u w:val="single"/>
        </w:rPr>
      </w:pPr>
      <w:r w:rsidRPr="001B5E1E">
        <w:rPr>
          <w:b/>
          <w:sz w:val="28"/>
          <w:szCs w:val="28"/>
          <w:u w:val="single"/>
        </w:rPr>
        <w:t>A cura di:</w:t>
      </w:r>
    </w:p>
    <w:p w:rsidR="001D2B15" w:rsidRPr="001D2B15" w:rsidRDefault="001D2B15" w:rsidP="001D2B15">
      <w:pPr>
        <w:widowControl w:val="0"/>
        <w:autoSpaceDE w:val="0"/>
        <w:autoSpaceDN w:val="0"/>
        <w:adjustRightInd w:val="0"/>
        <w:jc w:val="both"/>
        <w:rPr>
          <w:sz w:val="28"/>
          <w:szCs w:val="28"/>
        </w:rPr>
      </w:pPr>
    </w:p>
    <w:p w:rsidR="001D2B15" w:rsidRPr="001B5E1E" w:rsidRDefault="00A51E65" w:rsidP="001B5E1E">
      <w:pPr>
        <w:widowControl w:val="0"/>
        <w:autoSpaceDE w:val="0"/>
        <w:autoSpaceDN w:val="0"/>
        <w:adjustRightInd w:val="0"/>
        <w:spacing w:line="360" w:lineRule="auto"/>
        <w:jc w:val="both"/>
      </w:pPr>
      <w:r>
        <w:t>Circolo</w:t>
      </w:r>
      <w:r w:rsidR="001D2B15" w:rsidRPr="001B5E1E">
        <w:t xml:space="preserve"> Legambiente Val d’Agri</w:t>
      </w:r>
    </w:p>
    <w:p w:rsidR="001D2B15" w:rsidRPr="001B5E1E" w:rsidRDefault="001D2B15" w:rsidP="001B5E1E">
      <w:pPr>
        <w:widowControl w:val="0"/>
        <w:autoSpaceDE w:val="0"/>
        <w:autoSpaceDN w:val="0"/>
        <w:adjustRightInd w:val="0"/>
        <w:spacing w:line="360" w:lineRule="auto"/>
        <w:jc w:val="both"/>
      </w:pPr>
      <w:r w:rsidRPr="001B5E1E">
        <w:t xml:space="preserve">Legambiente Basilicata </w:t>
      </w:r>
      <w:r w:rsidR="00A51E65">
        <w:t>Onlus</w:t>
      </w:r>
    </w:p>
    <w:p w:rsidR="001D2B15" w:rsidRPr="001B5E1E" w:rsidRDefault="001D2B15" w:rsidP="001B5E1E">
      <w:pPr>
        <w:widowControl w:val="0"/>
        <w:autoSpaceDE w:val="0"/>
        <w:autoSpaceDN w:val="0"/>
        <w:adjustRightInd w:val="0"/>
        <w:spacing w:line="360" w:lineRule="auto"/>
        <w:jc w:val="both"/>
      </w:pPr>
      <w:r w:rsidRPr="001B5E1E">
        <w:t>Ufficio scientifico di Legambiente nazionale</w:t>
      </w:r>
    </w:p>
    <w:p w:rsidR="001D2B15" w:rsidRPr="001D2B15" w:rsidRDefault="001D2B15" w:rsidP="001D2B15">
      <w:pPr>
        <w:widowControl w:val="0"/>
        <w:autoSpaceDE w:val="0"/>
        <w:autoSpaceDN w:val="0"/>
        <w:adjustRightInd w:val="0"/>
        <w:jc w:val="both"/>
        <w:rPr>
          <w:sz w:val="28"/>
          <w:szCs w:val="28"/>
        </w:rPr>
      </w:pPr>
    </w:p>
    <w:p w:rsidR="001D2B15" w:rsidRPr="001D2B15" w:rsidRDefault="001D2B15" w:rsidP="001D2B15">
      <w:pPr>
        <w:widowControl w:val="0"/>
        <w:autoSpaceDE w:val="0"/>
        <w:autoSpaceDN w:val="0"/>
        <w:adjustRightInd w:val="0"/>
        <w:jc w:val="both"/>
        <w:rPr>
          <w:sz w:val="28"/>
          <w:szCs w:val="28"/>
        </w:rPr>
      </w:pPr>
    </w:p>
    <w:p w:rsidR="001D2B15" w:rsidRPr="001D2B15" w:rsidRDefault="001D2B15" w:rsidP="001D2B15">
      <w:pPr>
        <w:widowControl w:val="0"/>
        <w:autoSpaceDE w:val="0"/>
        <w:autoSpaceDN w:val="0"/>
        <w:adjustRightInd w:val="0"/>
        <w:jc w:val="both"/>
        <w:rPr>
          <w:b/>
          <w:sz w:val="28"/>
          <w:szCs w:val="28"/>
          <w:u w:val="single"/>
        </w:rPr>
      </w:pPr>
      <w:r w:rsidRPr="001D2B15">
        <w:rPr>
          <w:b/>
          <w:sz w:val="28"/>
          <w:szCs w:val="28"/>
          <w:u w:val="single"/>
        </w:rPr>
        <w:t>Indice</w:t>
      </w:r>
    </w:p>
    <w:p w:rsidR="001D2B15" w:rsidRPr="001D2B15" w:rsidRDefault="001D2B15" w:rsidP="001D2B15">
      <w:pPr>
        <w:widowControl w:val="0"/>
        <w:autoSpaceDE w:val="0"/>
        <w:autoSpaceDN w:val="0"/>
        <w:adjustRightInd w:val="0"/>
        <w:ind w:left="284" w:hanging="284"/>
        <w:jc w:val="both"/>
        <w:rPr>
          <w:b/>
        </w:rPr>
      </w:pPr>
    </w:p>
    <w:p w:rsidR="001D2B15" w:rsidRPr="001D2B15" w:rsidRDefault="001D2B15" w:rsidP="001D2B15">
      <w:pPr>
        <w:widowControl w:val="0"/>
        <w:autoSpaceDE w:val="0"/>
        <w:autoSpaceDN w:val="0"/>
        <w:adjustRightInd w:val="0"/>
        <w:ind w:left="284" w:hanging="284"/>
        <w:jc w:val="both"/>
        <w:rPr>
          <w:b/>
        </w:rPr>
      </w:pPr>
    </w:p>
    <w:p w:rsidR="001D2B15" w:rsidRPr="001D2B15" w:rsidRDefault="001D2B15" w:rsidP="001D2B15">
      <w:pPr>
        <w:widowControl w:val="0"/>
        <w:tabs>
          <w:tab w:val="right" w:pos="9356"/>
        </w:tabs>
        <w:autoSpaceDE w:val="0"/>
        <w:autoSpaceDN w:val="0"/>
        <w:adjustRightInd w:val="0"/>
        <w:spacing w:after="120" w:line="480" w:lineRule="auto"/>
        <w:ind w:left="284" w:hanging="284"/>
        <w:jc w:val="both"/>
        <w:rPr>
          <w:b/>
        </w:rPr>
      </w:pPr>
      <w:r>
        <w:rPr>
          <w:b/>
        </w:rPr>
        <w:t>1.</w:t>
      </w:r>
      <w:r>
        <w:rPr>
          <w:b/>
        </w:rPr>
        <w:tab/>
        <w:t>Premessa</w:t>
      </w:r>
      <w:r>
        <w:rPr>
          <w:b/>
        </w:rPr>
        <w:tab/>
      </w:r>
      <w:r w:rsidRPr="001D2B15">
        <w:rPr>
          <w:b/>
        </w:rPr>
        <w:t>pag.3</w:t>
      </w:r>
    </w:p>
    <w:p w:rsidR="001D2B15" w:rsidRPr="001D2B15" w:rsidRDefault="001D2B15" w:rsidP="001D2B15">
      <w:pPr>
        <w:widowControl w:val="0"/>
        <w:tabs>
          <w:tab w:val="right" w:pos="9356"/>
        </w:tabs>
        <w:autoSpaceDE w:val="0"/>
        <w:autoSpaceDN w:val="0"/>
        <w:adjustRightInd w:val="0"/>
        <w:spacing w:after="120" w:line="480" w:lineRule="auto"/>
        <w:ind w:left="284" w:hanging="284"/>
        <w:jc w:val="both"/>
        <w:rPr>
          <w:b/>
        </w:rPr>
      </w:pPr>
      <w:r w:rsidRPr="001D2B15">
        <w:rPr>
          <w:b/>
        </w:rPr>
        <w:t>2.</w:t>
      </w:r>
      <w:r w:rsidRPr="001D2B15">
        <w:rPr>
          <w:b/>
        </w:rPr>
        <w:tab/>
        <w:t>Il quadro attuale dell’attiv</w:t>
      </w:r>
      <w:r>
        <w:rPr>
          <w:b/>
        </w:rPr>
        <w:t>ità estrattiva in Basilicata</w:t>
      </w:r>
      <w:r>
        <w:rPr>
          <w:b/>
        </w:rPr>
        <w:tab/>
      </w:r>
      <w:r w:rsidRPr="001D2B15">
        <w:rPr>
          <w:b/>
        </w:rPr>
        <w:t>pag. 7</w:t>
      </w:r>
    </w:p>
    <w:p w:rsidR="001D2B15" w:rsidRPr="001D2B15" w:rsidRDefault="001D2B15" w:rsidP="001D2B15">
      <w:pPr>
        <w:widowControl w:val="0"/>
        <w:tabs>
          <w:tab w:val="right" w:pos="9356"/>
        </w:tabs>
        <w:autoSpaceDE w:val="0"/>
        <w:autoSpaceDN w:val="0"/>
        <w:adjustRightInd w:val="0"/>
        <w:spacing w:after="120" w:line="480" w:lineRule="auto"/>
        <w:ind w:left="284" w:hanging="284"/>
        <w:jc w:val="both"/>
        <w:rPr>
          <w:b/>
        </w:rPr>
      </w:pPr>
      <w:r w:rsidRPr="001D2B15">
        <w:rPr>
          <w:b/>
        </w:rPr>
        <w:t>3.</w:t>
      </w:r>
      <w:r w:rsidRPr="001D2B15">
        <w:rPr>
          <w:b/>
        </w:rPr>
        <w:tab/>
        <w:t>Gli accordi e le no</w:t>
      </w:r>
      <w:r>
        <w:rPr>
          <w:b/>
        </w:rPr>
        <w:t>rme regionali sul petrolio</w:t>
      </w:r>
      <w:r>
        <w:rPr>
          <w:b/>
        </w:rPr>
        <w:tab/>
      </w:r>
      <w:r w:rsidRPr="001D2B15">
        <w:rPr>
          <w:b/>
        </w:rPr>
        <w:t>pag. 10</w:t>
      </w:r>
    </w:p>
    <w:p w:rsidR="001D2B15" w:rsidRPr="001D2B15" w:rsidRDefault="001D2B15" w:rsidP="001D2B15">
      <w:pPr>
        <w:widowControl w:val="0"/>
        <w:tabs>
          <w:tab w:val="right" w:pos="9356"/>
        </w:tabs>
        <w:autoSpaceDE w:val="0"/>
        <w:autoSpaceDN w:val="0"/>
        <w:adjustRightInd w:val="0"/>
        <w:spacing w:after="120" w:line="480" w:lineRule="auto"/>
        <w:ind w:left="284" w:hanging="284"/>
        <w:jc w:val="both"/>
        <w:rPr>
          <w:b/>
        </w:rPr>
      </w:pPr>
      <w:r w:rsidRPr="001D2B15">
        <w:rPr>
          <w:b/>
        </w:rPr>
        <w:t>4.</w:t>
      </w:r>
      <w:r w:rsidRPr="001D2B15">
        <w:rPr>
          <w:b/>
        </w:rPr>
        <w:tab/>
        <w:t>Sicurezza, inform</w:t>
      </w:r>
      <w:r>
        <w:rPr>
          <w:b/>
        </w:rPr>
        <w:t>azione e tutela ambientale</w:t>
      </w:r>
      <w:r>
        <w:rPr>
          <w:b/>
        </w:rPr>
        <w:tab/>
      </w:r>
      <w:r w:rsidRPr="001D2B15">
        <w:rPr>
          <w:b/>
        </w:rPr>
        <w:t>pag. 12</w:t>
      </w:r>
    </w:p>
    <w:p w:rsidR="001D2B15" w:rsidRPr="001D2B15" w:rsidRDefault="001D2B15" w:rsidP="001D2B15">
      <w:pPr>
        <w:widowControl w:val="0"/>
        <w:tabs>
          <w:tab w:val="right" w:pos="9356"/>
        </w:tabs>
        <w:autoSpaceDE w:val="0"/>
        <w:autoSpaceDN w:val="0"/>
        <w:adjustRightInd w:val="0"/>
        <w:spacing w:after="120" w:line="480" w:lineRule="auto"/>
        <w:ind w:left="284" w:hanging="284"/>
        <w:jc w:val="both"/>
        <w:rPr>
          <w:b/>
        </w:rPr>
      </w:pPr>
      <w:r w:rsidRPr="001D2B15">
        <w:rPr>
          <w:b/>
        </w:rPr>
        <w:t>5.</w:t>
      </w:r>
      <w:r w:rsidRPr="001D2B15">
        <w:rPr>
          <w:b/>
        </w:rPr>
        <w:tab/>
        <w:t xml:space="preserve">La Val d’Agri, il Parco </w:t>
      </w:r>
      <w:r w:rsidR="001B6A26">
        <w:rPr>
          <w:b/>
        </w:rPr>
        <w:t>N</w:t>
      </w:r>
      <w:r w:rsidRPr="001D2B15">
        <w:rPr>
          <w:b/>
        </w:rPr>
        <w:t xml:space="preserve">azionale e </w:t>
      </w:r>
      <w:r w:rsidR="009025FD">
        <w:rPr>
          <w:b/>
        </w:rPr>
        <w:t>lo sviluppo possibile</w:t>
      </w:r>
      <w:r w:rsidR="009025FD">
        <w:rPr>
          <w:b/>
        </w:rPr>
        <w:tab/>
      </w:r>
      <w:r w:rsidR="006C7FA3">
        <w:rPr>
          <w:b/>
        </w:rPr>
        <w:t>pag. 14</w:t>
      </w:r>
    </w:p>
    <w:p w:rsidR="001D2B15" w:rsidRPr="001D2B15" w:rsidRDefault="001D2B15" w:rsidP="001D2B15">
      <w:pPr>
        <w:widowControl w:val="0"/>
        <w:tabs>
          <w:tab w:val="right" w:pos="9356"/>
        </w:tabs>
        <w:autoSpaceDE w:val="0"/>
        <w:autoSpaceDN w:val="0"/>
        <w:adjustRightInd w:val="0"/>
        <w:spacing w:after="120" w:line="480" w:lineRule="auto"/>
        <w:ind w:left="284" w:hanging="284"/>
        <w:jc w:val="both"/>
        <w:rPr>
          <w:b/>
        </w:rPr>
      </w:pPr>
      <w:r>
        <w:rPr>
          <w:b/>
        </w:rPr>
        <w:t>6.</w:t>
      </w:r>
      <w:r>
        <w:rPr>
          <w:b/>
        </w:rPr>
        <w:tab/>
        <w:t>Conclusioni</w:t>
      </w:r>
      <w:r>
        <w:rPr>
          <w:b/>
        </w:rPr>
        <w:tab/>
      </w:r>
      <w:r w:rsidR="009025FD">
        <w:rPr>
          <w:b/>
        </w:rPr>
        <w:t xml:space="preserve">pag. </w:t>
      </w:r>
      <w:r w:rsidRPr="001D2B15">
        <w:rPr>
          <w:b/>
        </w:rPr>
        <w:t>16</w:t>
      </w:r>
    </w:p>
    <w:p w:rsidR="001D2B15" w:rsidRPr="00956563" w:rsidRDefault="001D2B15" w:rsidP="001D2B15">
      <w:pPr>
        <w:widowControl w:val="0"/>
        <w:autoSpaceDE w:val="0"/>
        <w:autoSpaceDN w:val="0"/>
        <w:adjustRightInd w:val="0"/>
        <w:ind w:left="284" w:hanging="284"/>
        <w:jc w:val="both"/>
      </w:pPr>
    </w:p>
    <w:p w:rsidR="001D2B15" w:rsidRPr="001B6A26" w:rsidRDefault="001D2B15" w:rsidP="001D2B15">
      <w:pPr>
        <w:widowControl w:val="0"/>
        <w:autoSpaceDE w:val="0"/>
        <w:autoSpaceDN w:val="0"/>
        <w:adjustRightInd w:val="0"/>
        <w:jc w:val="both"/>
        <w:rPr>
          <w:b/>
          <w:sz w:val="28"/>
          <w:szCs w:val="28"/>
          <w:u w:val="single"/>
        </w:rPr>
      </w:pPr>
      <w:r w:rsidRPr="001B6A26">
        <w:rPr>
          <w:b/>
          <w:sz w:val="28"/>
          <w:szCs w:val="28"/>
          <w:u w:val="single"/>
        </w:rPr>
        <w:t>Fonti</w:t>
      </w:r>
    </w:p>
    <w:p w:rsidR="001D2B15" w:rsidRPr="001B6A26" w:rsidRDefault="001D2B15" w:rsidP="001D2B15">
      <w:pPr>
        <w:widowControl w:val="0"/>
        <w:autoSpaceDE w:val="0"/>
        <w:autoSpaceDN w:val="0"/>
        <w:adjustRightInd w:val="0"/>
        <w:jc w:val="both"/>
      </w:pPr>
    </w:p>
    <w:p w:rsidR="001D2B15" w:rsidRPr="001B6A26" w:rsidRDefault="001D2B15" w:rsidP="001B6A26">
      <w:pPr>
        <w:widowControl w:val="0"/>
        <w:autoSpaceDE w:val="0"/>
        <w:autoSpaceDN w:val="0"/>
        <w:adjustRightInd w:val="0"/>
        <w:spacing w:after="120"/>
        <w:jc w:val="both"/>
      </w:pPr>
      <w:r w:rsidRPr="001B6A26">
        <w:t xml:space="preserve">Direzione generale per le risorse minerarie ed energetiche, Ministero dello Sviluppo economico - </w:t>
      </w:r>
      <w:r w:rsidRPr="001B5E1E">
        <w:rPr>
          <w:i/>
        </w:rPr>
        <w:t>Rapporto annuale 2012</w:t>
      </w:r>
    </w:p>
    <w:p w:rsidR="001D2B15" w:rsidRPr="001B6A26" w:rsidRDefault="001D2B15" w:rsidP="001B6A26">
      <w:pPr>
        <w:widowControl w:val="0"/>
        <w:autoSpaceDE w:val="0"/>
        <w:autoSpaceDN w:val="0"/>
        <w:adjustRightInd w:val="0"/>
        <w:spacing w:after="120"/>
        <w:jc w:val="both"/>
      </w:pPr>
      <w:r w:rsidRPr="001B6A26">
        <w:t xml:space="preserve">Sito internet della Direzione generale per le risorse minerarie ed energetiche del MISE: </w:t>
      </w:r>
      <w:r w:rsidRPr="001B5E1E">
        <w:rPr>
          <w:i/>
        </w:rPr>
        <w:t>http://unmig.sviluppoeconomico.gov.it</w:t>
      </w:r>
    </w:p>
    <w:p w:rsidR="001D2B15" w:rsidRPr="001B6A26" w:rsidRDefault="001D2B15" w:rsidP="001B6A26">
      <w:pPr>
        <w:widowControl w:val="0"/>
        <w:autoSpaceDE w:val="0"/>
        <w:autoSpaceDN w:val="0"/>
        <w:adjustRightInd w:val="0"/>
        <w:spacing w:after="120"/>
        <w:jc w:val="both"/>
      </w:pPr>
      <w:r w:rsidRPr="001B6A26">
        <w:t>Protocollo d’intesa Stato – Regione Basilicata</w:t>
      </w:r>
      <w:r w:rsidR="001B5E1E">
        <w:t>,</w:t>
      </w:r>
      <w:r w:rsidRPr="001B6A26">
        <w:t xml:space="preserve"> 7 ottobre 1998</w:t>
      </w:r>
    </w:p>
    <w:p w:rsidR="001D2B15" w:rsidRPr="001B6A26" w:rsidRDefault="001D2B15" w:rsidP="001B6A26">
      <w:pPr>
        <w:widowControl w:val="0"/>
        <w:autoSpaceDE w:val="0"/>
        <w:autoSpaceDN w:val="0"/>
        <w:adjustRightInd w:val="0"/>
        <w:spacing w:after="120"/>
        <w:jc w:val="both"/>
      </w:pPr>
      <w:r w:rsidRPr="001B6A26">
        <w:t>Protocollo d’Intesa tra Eni e Regione Basilicata, 18 novembre 1998</w:t>
      </w:r>
    </w:p>
    <w:p w:rsidR="001D2B15" w:rsidRPr="001B6A26" w:rsidRDefault="001D2B15" w:rsidP="001B6A26">
      <w:pPr>
        <w:widowControl w:val="0"/>
        <w:autoSpaceDE w:val="0"/>
        <w:autoSpaceDN w:val="0"/>
        <w:adjustRightInd w:val="0"/>
        <w:spacing w:after="120"/>
        <w:jc w:val="both"/>
      </w:pPr>
      <w:r w:rsidRPr="001B6A26">
        <w:t>Memorandum d’intesa Stato – Regione Basilicata, Potenza 29 aprile 2011</w:t>
      </w:r>
    </w:p>
    <w:p w:rsidR="001D2B15" w:rsidRPr="001B6A26" w:rsidRDefault="001D2B15" w:rsidP="001B6A26">
      <w:pPr>
        <w:widowControl w:val="0"/>
        <w:autoSpaceDE w:val="0"/>
        <w:autoSpaceDN w:val="0"/>
        <w:adjustRightInd w:val="0"/>
        <w:spacing w:after="120"/>
        <w:jc w:val="both"/>
      </w:pPr>
      <w:r w:rsidRPr="001B6A26">
        <w:t>Documento congressuale di Legambiente Basilicata – novembre 2011</w:t>
      </w:r>
    </w:p>
    <w:p w:rsidR="001D2B15" w:rsidRPr="001B6A26" w:rsidRDefault="001D2B15" w:rsidP="001B6A26">
      <w:pPr>
        <w:widowControl w:val="0"/>
        <w:autoSpaceDE w:val="0"/>
        <w:autoSpaceDN w:val="0"/>
        <w:adjustRightInd w:val="0"/>
        <w:spacing w:after="120"/>
        <w:jc w:val="both"/>
      </w:pPr>
      <w:r w:rsidRPr="001B6A26">
        <w:t>Legge Regione Basilicata n. 16 dell’8 agosto 2012</w:t>
      </w:r>
    </w:p>
    <w:p w:rsidR="001D2B15" w:rsidRPr="001B6A26" w:rsidRDefault="001D2B15" w:rsidP="001B6A26">
      <w:pPr>
        <w:widowControl w:val="0"/>
        <w:autoSpaceDE w:val="0"/>
        <w:autoSpaceDN w:val="0"/>
        <w:adjustRightInd w:val="0"/>
        <w:spacing w:after="120"/>
        <w:jc w:val="both"/>
      </w:pPr>
      <w:r w:rsidRPr="001B6A26">
        <w:t>Sito dell’ Osservatorio ambientale – www.osservatoriovaldagri.it</w:t>
      </w:r>
    </w:p>
    <w:p w:rsidR="001D2B15" w:rsidRPr="001B6A26" w:rsidRDefault="001D2B15" w:rsidP="001B6A26">
      <w:pPr>
        <w:widowControl w:val="0"/>
        <w:autoSpaceDE w:val="0"/>
        <w:autoSpaceDN w:val="0"/>
        <w:adjustRightInd w:val="0"/>
        <w:spacing w:after="120"/>
        <w:jc w:val="both"/>
      </w:pPr>
      <w:r w:rsidRPr="001B6A26">
        <w:t>Eni –  Eni in Basilicata, Local report – 21 dicembre 2012</w:t>
      </w:r>
    </w:p>
    <w:p w:rsidR="001D2B15" w:rsidRPr="001B6A26" w:rsidRDefault="001D2B15" w:rsidP="001B6A26">
      <w:pPr>
        <w:widowControl w:val="0"/>
        <w:autoSpaceDE w:val="0"/>
        <w:autoSpaceDN w:val="0"/>
        <w:adjustRightInd w:val="0"/>
        <w:spacing w:after="120"/>
        <w:jc w:val="both"/>
      </w:pPr>
      <w:r w:rsidRPr="001B6A26">
        <w:t>CGIL - Secondo rapporto sull’ENI e il suo indotto industriale e occupazionale in Val d’Agri – Novembre 2012</w:t>
      </w:r>
    </w:p>
    <w:p w:rsidR="001B5E1E" w:rsidRDefault="001B5E1E" w:rsidP="001B5E1E">
      <w:pPr>
        <w:jc w:val="both"/>
      </w:pPr>
    </w:p>
    <w:p w:rsidR="00526316" w:rsidRPr="00956563" w:rsidRDefault="00956563" w:rsidP="00956563">
      <w:pPr>
        <w:jc w:val="both"/>
        <w:rPr>
          <w:rFonts w:ascii="(Tipo di carattere testo asiati" w:hAnsi="(Tipo di carattere testo asiati"/>
        </w:rPr>
      </w:pPr>
      <w:r>
        <w:br w:type="page"/>
      </w:r>
    </w:p>
    <w:p w:rsidR="0044171F" w:rsidRPr="00A871C3" w:rsidRDefault="00746372" w:rsidP="003C2484">
      <w:pPr>
        <w:numPr>
          <w:ilvl w:val="0"/>
          <w:numId w:val="8"/>
        </w:numPr>
        <w:ind w:left="284" w:hanging="284"/>
        <w:jc w:val="both"/>
        <w:rPr>
          <w:b/>
          <w:sz w:val="28"/>
          <w:szCs w:val="28"/>
        </w:rPr>
      </w:pPr>
      <w:r w:rsidRPr="00864794">
        <w:rPr>
          <w:rFonts w:ascii="(Tipo di carattere testo asiati" w:hAnsi="(Tipo di carattere testo asiati"/>
          <w:b/>
          <w:sz w:val="28"/>
          <w:szCs w:val="28"/>
        </w:rPr>
        <w:t>P</w:t>
      </w:r>
      <w:r w:rsidR="00A871C3" w:rsidRPr="00864794">
        <w:rPr>
          <w:rFonts w:ascii="(Tipo di carattere testo asiati" w:hAnsi="(Tipo di carattere testo asiati"/>
          <w:b/>
          <w:sz w:val="28"/>
          <w:szCs w:val="28"/>
        </w:rPr>
        <w:t>remessa</w:t>
      </w:r>
    </w:p>
    <w:p w:rsidR="0056520C" w:rsidRDefault="0056520C" w:rsidP="00864794">
      <w:pPr>
        <w:widowControl w:val="0"/>
        <w:autoSpaceDE w:val="0"/>
        <w:autoSpaceDN w:val="0"/>
        <w:adjustRightInd w:val="0"/>
        <w:jc w:val="both"/>
        <w:rPr>
          <w:b/>
        </w:rPr>
      </w:pPr>
    </w:p>
    <w:p w:rsidR="00EE01B1" w:rsidRDefault="00A27780" w:rsidP="00CA654C">
      <w:pPr>
        <w:spacing w:after="120"/>
        <w:jc w:val="both"/>
        <w:rPr>
          <w:color w:val="000000"/>
        </w:rPr>
      </w:pPr>
      <w:r w:rsidRPr="00EA1DC6">
        <w:t>In Italia n</w:t>
      </w:r>
      <w:r w:rsidRPr="00EA1DC6">
        <w:rPr>
          <w:color w:val="000000"/>
        </w:rPr>
        <w:t>el 2011 la produzione di petrolio è stata di 5,28 milioni di tonnellate</w:t>
      </w:r>
      <w:r w:rsidR="00CD6CDD">
        <w:rPr>
          <w:color w:val="000000"/>
        </w:rPr>
        <w:t>, di queste il 71% arriva dai giacimenti della Basilicata, i più grandi non solo del paese ma di tutta l’Europa occidentale.</w:t>
      </w:r>
      <w:r w:rsidR="009178AE">
        <w:rPr>
          <w:color w:val="000000"/>
        </w:rPr>
        <w:t xml:space="preserve"> Nei primi sei mesi del 2012 l’attività petrolifera ha prodotto oltre</w:t>
      </w:r>
      <w:r w:rsidRPr="00EA1DC6">
        <w:rPr>
          <w:color w:val="000000"/>
        </w:rPr>
        <w:t xml:space="preserve"> 2</w:t>
      </w:r>
      <w:r w:rsidR="009178AE">
        <w:rPr>
          <w:color w:val="000000"/>
        </w:rPr>
        <w:t xml:space="preserve"> </w:t>
      </w:r>
      <w:r w:rsidRPr="00EA1DC6">
        <w:rPr>
          <w:color w:val="000000"/>
        </w:rPr>
        <w:t>mi</w:t>
      </w:r>
      <w:r w:rsidR="009178AE">
        <w:rPr>
          <w:color w:val="000000"/>
        </w:rPr>
        <w:t>lioni di tonnellate di petrolio es</w:t>
      </w:r>
      <w:r w:rsidR="009178AE" w:rsidRPr="004E2A09">
        <w:rPr>
          <w:color w:val="000000"/>
        </w:rPr>
        <w:t xml:space="preserve">tratte dalle 3 concessioni petrolifere attive </w:t>
      </w:r>
      <w:r w:rsidRPr="004E2A09">
        <w:rPr>
          <w:color w:val="000000"/>
        </w:rPr>
        <w:t xml:space="preserve">Gorgoglione, Serra </w:t>
      </w:r>
      <w:r w:rsidR="009178AE" w:rsidRPr="004E2A09">
        <w:rPr>
          <w:color w:val="000000"/>
        </w:rPr>
        <w:t>P</w:t>
      </w:r>
      <w:r w:rsidRPr="004E2A09">
        <w:rPr>
          <w:color w:val="000000"/>
        </w:rPr>
        <w:t>izzuta e</w:t>
      </w:r>
      <w:r w:rsidR="009178AE" w:rsidRPr="004E2A09">
        <w:rPr>
          <w:color w:val="000000"/>
        </w:rPr>
        <w:t xml:space="preserve"> soprattutto dalla</w:t>
      </w:r>
      <w:r w:rsidRPr="004E2A09">
        <w:rPr>
          <w:color w:val="000000"/>
        </w:rPr>
        <w:t xml:space="preserve"> Val </w:t>
      </w:r>
      <w:r w:rsidR="00FD02B6" w:rsidRPr="004E2A09">
        <w:rPr>
          <w:color w:val="000000"/>
        </w:rPr>
        <w:t>d’A</w:t>
      </w:r>
      <w:r w:rsidRPr="004E2A09">
        <w:rPr>
          <w:color w:val="000000"/>
        </w:rPr>
        <w:t>gri</w:t>
      </w:r>
      <w:r w:rsidR="009178AE" w:rsidRPr="004E2A09">
        <w:rPr>
          <w:color w:val="000000"/>
        </w:rPr>
        <w:t xml:space="preserve">, </w:t>
      </w:r>
      <w:r w:rsidR="0056520C">
        <w:rPr>
          <w:color w:val="000000"/>
        </w:rPr>
        <w:t>da cui proviene oltre il 99% del</w:t>
      </w:r>
      <w:r w:rsidR="009178AE" w:rsidRPr="004E2A09">
        <w:rPr>
          <w:color w:val="000000"/>
        </w:rPr>
        <w:t xml:space="preserve"> petrolio estratto </w:t>
      </w:r>
      <w:r w:rsidR="0056520C">
        <w:rPr>
          <w:color w:val="000000"/>
        </w:rPr>
        <w:t>sul territorio regionale.</w:t>
      </w:r>
      <w:r w:rsidR="009178AE" w:rsidRPr="004E2A09">
        <w:rPr>
          <w:color w:val="000000"/>
        </w:rPr>
        <w:t xml:space="preserve"> L</w:t>
      </w:r>
      <w:r w:rsidRPr="004E2A09">
        <w:rPr>
          <w:color w:val="000000"/>
        </w:rPr>
        <w:t>e</w:t>
      </w:r>
      <w:r w:rsidR="009178AE" w:rsidRPr="004E2A09">
        <w:rPr>
          <w:color w:val="000000"/>
        </w:rPr>
        <w:t xml:space="preserve"> aree date in concessione per l’estrazione di petrolio occupano una superficie di  circa mille </w:t>
      </w:r>
      <w:r w:rsidR="004E2A09" w:rsidRPr="004E2A09">
        <w:rPr>
          <w:color w:val="000000"/>
        </w:rPr>
        <w:t>chilometri quadrati</w:t>
      </w:r>
      <w:r w:rsidR="009178AE" w:rsidRPr="004E2A09">
        <w:rPr>
          <w:color w:val="000000"/>
        </w:rPr>
        <w:t xml:space="preserve">, </w:t>
      </w:r>
      <w:r w:rsidR="004E2A09" w:rsidRPr="004E2A09">
        <w:rPr>
          <w:color w:val="000000"/>
        </w:rPr>
        <w:t>m</w:t>
      </w:r>
      <w:r>
        <w:rPr>
          <w:color w:val="000000"/>
        </w:rPr>
        <w:t xml:space="preserve">a l’area ipotecata alle attività petrolifere potrebbe aumentare nei prossimi anni. Infatti ci sono altri 1.454 kmq dedicati ad attività di ricerca e le richieste </w:t>
      </w:r>
      <w:r w:rsidR="006F322A">
        <w:rPr>
          <w:color w:val="000000"/>
        </w:rPr>
        <w:t xml:space="preserve">di nuovi permessi, in corso di valutazione al Ministero dello sviluppo economico, </w:t>
      </w:r>
      <w:r>
        <w:rPr>
          <w:color w:val="000000"/>
        </w:rPr>
        <w:t>riguarda</w:t>
      </w:r>
      <w:r w:rsidR="006F322A">
        <w:rPr>
          <w:color w:val="000000"/>
        </w:rPr>
        <w:t>no 2.833 Kmq.</w:t>
      </w:r>
    </w:p>
    <w:p w:rsidR="0056520C" w:rsidRPr="00C8190D" w:rsidRDefault="00EE01B1" w:rsidP="00CA654C">
      <w:pPr>
        <w:spacing w:after="120"/>
        <w:jc w:val="both"/>
      </w:pPr>
      <w:r w:rsidRPr="00EE01B1">
        <w:rPr>
          <w:color w:val="000000"/>
        </w:rPr>
        <w:t xml:space="preserve">Un’espansione agevolata anche dalla Strategia energetica nazionale che dedica uno dei pilastri proprio allo “Sviluppo sostenibile degli idrocarburi” spingendo verso un settore destinato ad esaurirsi in pochi anni, come sostenuto dallo stesso Ministero nel Rapporto annuale 2012 della sua Direzione Generale per le Risorse Minerarie ed Energetiche: «Il rapporto fra le sole riserve certe e la produzione annuale media degli ultimi cinque anni, indica uno scenario di sviluppo articolato in 7,2 anni per il gas e 14 per l’olio». </w:t>
      </w:r>
      <w:r w:rsidR="0056520C">
        <w:t>A</w:t>
      </w:r>
      <w:r w:rsidR="0056520C" w:rsidRPr="000979F4">
        <w:t>ree sempre più vaste del territorio lucano so</w:t>
      </w:r>
      <w:r w:rsidR="0056520C">
        <w:t>no a rischio per la richiesta delle</w:t>
      </w:r>
      <w:r w:rsidR="0056520C" w:rsidRPr="000979F4">
        <w:t xml:space="preserve"> compagnie petrolifere di realizzazione dell’attività di estrazione di idrocarburi, suscitando allarme </w:t>
      </w:r>
      <w:r w:rsidR="0056520C" w:rsidRPr="00526316">
        <w:t>nelle popolazioni</w:t>
      </w:r>
      <w:r w:rsidR="0056520C" w:rsidRPr="000979F4">
        <w:t xml:space="preserve"> ed anche nelle amministratori locali che, diversamente da ciò che è avvenuto in passato, oggi considerano la tutela dell’ambiente e del territorio come elemento assolutamente imprescindibile.</w:t>
      </w:r>
      <w:r w:rsidR="0056520C">
        <w:t xml:space="preserve"> S</w:t>
      </w:r>
      <w:r w:rsidR="0056520C" w:rsidRPr="000979F4">
        <w:t>ono in discussione il futuro di intere aree territoriali della Basilicata e lo stesso concetto di sviluppo che non può continuare ad essere i</w:t>
      </w:r>
      <w:r w:rsidR="0056520C">
        <w:t xml:space="preserve">ncentrato </w:t>
      </w:r>
      <w:r w:rsidR="0056520C" w:rsidRPr="000979F4">
        <w:t>sullo sfruttamento delle risorse petrolifere del territorio.</w:t>
      </w:r>
    </w:p>
    <w:p w:rsidR="00A27780" w:rsidRDefault="006F322A" w:rsidP="00CA654C">
      <w:pPr>
        <w:spacing w:after="120"/>
        <w:jc w:val="both"/>
      </w:pPr>
      <w:r>
        <w:t>L</w:t>
      </w:r>
      <w:r w:rsidR="00EC57AA">
        <w:t xml:space="preserve">a storia del petrolio in Basilicata </w:t>
      </w:r>
      <w:r w:rsidR="00C81547">
        <w:t xml:space="preserve">ha origine all’inizio del secolo scorso. </w:t>
      </w:r>
      <w:r w:rsidR="00975CCF">
        <w:t>Risale al 1902 la perforazione del primo pozzo di petrolio in Val d’Agri, nel comune di Tramutola. Una prima fase di coltivazione si sviluppa nel ventennio 1939-1959, caratterizzato dall’embargo petrolifero e da scarsi rinvenimenti di risorse petrolifere in altre aree dell'Italia; per le mutate condizioni internazionali e la conseguente caduta del prezzo del barile a pochi dollari, l'AGIP chiude questa fase nel 1959 con l'ultimo pozzo (sterile), sempre a Tramutola. Il repentino aumento del prezzo del petrolio dopo la guerra del Kippur (dai 7.2 dollari per barile nel 1970 ai 27.8 del 1974) e lo sviluppo tecnologico inducono l'AGIP ad intraprendere una nuova campagna di ricerca (periodo 1975-1984), che consente di stimare la presenza, nel sottosuolo della Val d’Agri, d</w:t>
      </w:r>
      <w:r w:rsidR="001B5E1E">
        <w:t>e</w:t>
      </w:r>
      <w:r w:rsidR="00975CCF">
        <w:t>i giaciment</w:t>
      </w:r>
      <w:r w:rsidR="001B5E1E">
        <w:t>i minerari tra i più rilevanti in terraferma</w:t>
      </w:r>
      <w:r w:rsidR="00975CCF">
        <w:t xml:space="preserve"> conosciuti in Europa e di avviare la fase di sviluppo oggi in essere e alla quale si sono aggregate altre compagnie petrolifere.</w:t>
      </w:r>
    </w:p>
    <w:p w:rsidR="00B47891" w:rsidRDefault="00D23E85" w:rsidP="00CA654C">
      <w:pPr>
        <w:spacing w:after="120"/>
        <w:jc w:val="both"/>
      </w:pPr>
      <w:r w:rsidRPr="00EE01B1">
        <w:t xml:space="preserve">Quando, nella seconda metà degli anni ottanta vennero avviate, le attività di estrazione </w:t>
      </w:r>
      <w:r w:rsidR="00BC732F" w:rsidRPr="00EE01B1">
        <w:t>furono</w:t>
      </w:r>
      <w:r w:rsidRPr="00EE01B1">
        <w:t xml:space="preserve"> viste con sostanziale favo</w:t>
      </w:r>
      <w:r w:rsidR="00BC732F" w:rsidRPr="00EE01B1">
        <w:t>re dalla popolazione locale</w:t>
      </w:r>
      <w:r w:rsidR="00A27780" w:rsidRPr="00EE01B1">
        <w:t xml:space="preserve">. </w:t>
      </w:r>
      <w:r w:rsidR="00BC732F" w:rsidRPr="00EE01B1">
        <w:t>G</w:t>
      </w:r>
      <w:r w:rsidRPr="00EE01B1">
        <w:t>ià disill</w:t>
      </w:r>
      <w:r w:rsidR="00BB461B" w:rsidRPr="00EE01B1">
        <w:t xml:space="preserve">usa dal precedente decennio di </w:t>
      </w:r>
      <w:r w:rsidRPr="001B5E1E">
        <w:t xml:space="preserve">industrializzazione </w:t>
      </w:r>
      <w:r w:rsidR="00BB461B" w:rsidRPr="001B5E1E">
        <w:t>indotta</w:t>
      </w:r>
      <w:r w:rsidRPr="001B5E1E">
        <w:t xml:space="preserve">, </w:t>
      </w:r>
      <w:r w:rsidR="006A6579" w:rsidRPr="001B5E1E">
        <w:t>la maggioranza de</w:t>
      </w:r>
      <w:r w:rsidR="00B47891" w:rsidRPr="001B5E1E">
        <w:t>i valligiani</w:t>
      </w:r>
      <w:r w:rsidR="006A6579" w:rsidRPr="001B5E1E">
        <w:t xml:space="preserve"> </w:t>
      </w:r>
      <w:r w:rsidRPr="001B5E1E">
        <w:t xml:space="preserve">volle vedere nel petrolio la </w:t>
      </w:r>
      <w:r w:rsidR="00B47891" w:rsidRPr="001B5E1E">
        <w:t xml:space="preserve">soluzione </w:t>
      </w:r>
      <w:r w:rsidRPr="001B5E1E">
        <w:t>d</w:t>
      </w:r>
      <w:r w:rsidR="00B47891" w:rsidRPr="001B5E1E">
        <w:t>i</w:t>
      </w:r>
      <w:r w:rsidRPr="001B5E1E">
        <w:t xml:space="preserve"> </w:t>
      </w:r>
      <w:r w:rsidRPr="00EE01B1">
        <w:t>ogni problema.</w:t>
      </w:r>
      <w:r w:rsidR="00A27780" w:rsidRPr="00EE01B1">
        <w:t xml:space="preserve"> </w:t>
      </w:r>
      <w:r w:rsidR="001B5E1E">
        <w:t xml:space="preserve">Le amministrazioni e le </w:t>
      </w:r>
      <w:r w:rsidR="00BC732F" w:rsidRPr="00EE01B1">
        <w:t>istituzioni</w:t>
      </w:r>
      <w:r w:rsidR="006A6579" w:rsidRPr="00EE01B1">
        <w:t xml:space="preserve"> locali</w:t>
      </w:r>
      <w:r w:rsidR="00BC732F" w:rsidRPr="00EE01B1">
        <w:t xml:space="preserve">, dal canto loro </w:t>
      </w:r>
      <w:r w:rsidR="00B47891" w:rsidRPr="00EE01B1">
        <w:t xml:space="preserve">non fecero nulla per smentire l’idea che l’industria petrolifera avrebbe portato lavoro e prosperità con una </w:t>
      </w:r>
      <w:r w:rsidR="00BC732F" w:rsidRPr="00EE01B1">
        <w:t>ingente domanda di forza lavoro</w:t>
      </w:r>
      <w:r w:rsidR="00C150EE" w:rsidRPr="00EE01B1">
        <w:t xml:space="preserve"> (</w:t>
      </w:r>
      <w:r w:rsidR="00B47891" w:rsidRPr="00EE01B1">
        <w:t xml:space="preserve">mentre l’industria estrattiva </w:t>
      </w:r>
      <w:r w:rsidR="00C150EE" w:rsidRPr="00EE01B1">
        <w:t xml:space="preserve">è </w:t>
      </w:r>
      <w:r w:rsidR="00B47891" w:rsidRPr="00EE01B1">
        <w:t xml:space="preserve">notoriamente </w:t>
      </w:r>
      <w:r w:rsidR="00C150EE" w:rsidRPr="00EE01B1">
        <w:t>un’attività a bassa intensità di manodopera, soprattutto se non qualificata)</w:t>
      </w:r>
      <w:r w:rsidR="00BC732F" w:rsidRPr="00EE01B1">
        <w:t>, contando sul</w:t>
      </w:r>
      <w:r w:rsidR="00B47891" w:rsidRPr="00EE01B1">
        <w:t xml:space="preserve"> fa</w:t>
      </w:r>
      <w:r w:rsidR="00BC732F" w:rsidRPr="00EE01B1">
        <w:t xml:space="preserve">tto </w:t>
      </w:r>
      <w:r w:rsidR="00B47891" w:rsidRPr="00EE01B1">
        <w:t xml:space="preserve">che la gestione </w:t>
      </w:r>
      <w:r w:rsidR="00BC732F" w:rsidRPr="00EE01B1">
        <w:t>delle royalties</w:t>
      </w:r>
      <w:r w:rsidR="00B47891" w:rsidRPr="00EE01B1">
        <w:t xml:space="preserve"> avrebbe generato lavoro e sviluppo</w:t>
      </w:r>
      <w:r w:rsidR="00BC732F" w:rsidRPr="00EE01B1">
        <w:t>.</w:t>
      </w:r>
    </w:p>
    <w:p w:rsidR="00E33117" w:rsidRDefault="00E33117" w:rsidP="00CA654C">
      <w:pPr>
        <w:pStyle w:val="Corpotesto"/>
        <w:autoSpaceDE w:val="0"/>
        <w:autoSpaceDN w:val="0"/>
        <w:adjustRightInd w:val="0"/>
        <w:jc w:val="both"/>
      </w:pPr>
      <w:r w:rsidRPr="00EE01B1">
        <w:t>È sotto gli occhi di tutti, invec</w:t>
      </w:r>
      <w:r w:rsidR="001B5E1E">
        <w:t xml:space="preserve">e, </w:t>
      </w:r>
      <w:r w:rsidR="001B5E1E" w:rsidRPr="00526316">
        <w:t>come la scelta petrolifera</w:t>
      </w:r>
      <w:r w:rsidRPr="00526316">
        <w:t xml:space="preserve"> </w:t>
      </w:r>
      <w:r w:rsidR="001B5E1E" w:rsidRPr="00526316">
        <w:t xml:space="preserve">non solo </w:t>
      </w:r>
      <w:r w:rsidRPr="00526316">
        <w:t>stia</w:t>
      </w:r>
      <w:r w:rsidRPr="00EE01B1">
        <w:t xml:space="preserve"> mostrando tutta la sua inefficacia rispetto alla soluzione dei problemi economici e sociali delle nostre aree interne, ma risulta anche essere un enorme freno per altre prospettive di sviluppo, tutte praticabili, che a partire dalla difesa dell’ambiente e della biodiversità puntano ad una programmazione dello sviluppo in armonia con le peculiarità locali.</w:t>
      </w:r>
    </w:p>
    <w:p w:rsidR="00E33117" w:rsidRPr="00EE01B1" w:rsidRDefault="00E33117" w:rsidP="00CA654C">
      <w:pPr>
        <w:spacing w:after="120"/>
        <w:jc w:val="both"/>
        <w:rPr>
          <w:rFonts w:ascii="TimesNewRomanPSMT" w:hAnsi="TimesNewRomanPSMT" w:cs="TimesNewRomanPSMT"/>
        </w:rPr>
      </w:pPr>
      <w:r w:rsidRPr="00EE01B1">
        <w:rPr>
          <w:rFonts w:ascii="TimesNewRomanPSMT" w:hAnsi="TimesNewRomanPSMT" w:cs="TimesNewRomanPSMT"/>
        </w:rPr>
        <w:lastRenderedPageBreak/>
        <w:t xml:space="preserve">Le speranze nate con l’inizio dell’attività petrolifera, insomma, sono andate deluse, anzi è sempre più diffusa tra le popolazioni locali </w:t>
      </w:r>
      <w:r w:rsidRPr="00EE01B1">
        <w:t>la convinzione che l’attività estrattiva rappresenti un grave rischio sia per la salute che per le prospettive di sviluppo economiche</w:t>
      </w:r>
      <w:r w:rsidRPr="00EE01B1">
        <w:rPr>
          <w:rFonts w:ascii="TimesNewRomanPSMT" w:hAnsi="TimesNewRomanPSMT" w:cs="TimesNewRomanPSMT"/>
        </w:rPr>
        <w:t>. La costante emigrazione ne è una testimonianza inequivocabile. Di qui l’urgenza di un cambio di rotta per non vanificare le pur ingenti risorse e potenzialità di quelle aree.</w:t>
      </w:r>
    </w:p>
    <w:p w:rsidR="00E33117" w:rsidRPr="00EE01B1" w:rsidRDefault="00E33117" w:rsidP="00CA654C">
      <w:pPr>
        <w:spacing w:after="120"/>
        <w:jc w:val="both"/>
      </w:pPr>
      <w:r w:rsidRPr="00EE01B1">
        <w:t>I tentativi della Legambiente e delle associazioni ambientaliste di evitare “l’avventura petrolifera” in Basilicata, anche nell’ottica di mantenere il petrolio della Val d’Agri come “riserva strategica nazionale” fallirono e si decise di puntare sullo sfruttamento industriale della risorsa.</w:t>
      </w:r>
      <w:r w:rsidR="001B5E1E">
        <w:t xml:space="preserve"> </w:t>
      </w:r>
    </w:p>
    <w:p w:rsidR="00986112" w:rsidRPr="00FB5B23" w:rsidRDefault="00E33117" w:rsidP="00CA654C">
      <w:pPr>
        <w:spacing w:after="120"/>
        <w:jc w:val="both"/>
      </w:pPr>
      <w:r w:rsidRPr="00EE01B1">
        <w:t>O</w:t>
      </w:r>
      <w:r w:rsidR="00986112" w:rsidRPr="00EE01B1">
        <w:t>ggi</w:t>
      </w:r>
      <w:r w:rsidRPr="00EE01B1">
        <w:t xml:space="preserve"> </w:t>
      </w:r>
      <w:r w:rsidR="00986112" w:rsidRPr="00EE01B1">
        <w:t>di fronte ad una presenza così affermata ed ingombrante sul territorio</w:t>
      </w:r>
      <w:r w:rsidRPr="00EE01B1">
        <w:t xml:space="preserve"> delle attività petrolifere</w:t>
      </w:r>
      <w:r w:rsidR="00986112" w:rsidRPr="00EE01B1">
        <w:t>,</w:t>
      </w:r>
      <w:r w:rsidR="00986112">
        <w:t xml:space="preserve"> è possibile </w:t>
      </w:r>
      <w:r w:rsidR="00986112" w:rsidRPr="00FB5B23">
        <w:t xml:space="preserve">riconoscere </w:t>
      </w:r>
      <w:r w:rsidR="00BB461B" w:rsidRPr="00FB5B23">
        <w:t xml:space="preserve">ai suoi abitanti </w:t>
      </w:r>
      <w:r w:rsidR="00986112" w:rsidRPr="00FB5B23">
        <w:t xml:space="preserve"> </w:t>
      </w:r>
      <w:r w:rsidR="00E63E94" w:rsidRPr="00FB5B23">
        <w:t xml:space="preserve">il diritto-dovere </w:t>
      </w:r>
      <w:r w:rsidR="00986112" w:rsidRPr="00FB5B23">
        <w:t>d</w:t>
      </w:r>
      <w:r w:rsidR="00BB461B" w:rsidRPr="00FB5B23">
        <w:t>i essere consapevoli</w:t>
      </w:r>
      <w:r w:rsidR="00986112" w:rsidRPr="00FB5B23">
        <w:t xml:space="preserve"> a tutti i livelli dell’</w:t>
      </w:r>
      <w:r w:rsidR="00E63E94" w:rsidRPr="00FB5B23">
        <w:rPr>
          <w:i/>
        </w:rPr>
        <w:t>importanza</w:t>
      </w:r>
      <w:r w:rsidR="00986112" w:rsidRPr="00FB5B23">
        <w:t xml:space="preserve"> dell’attività presente in valle?</w:t>
      </w:r>
    </w:p>
    <w:p w:rsidR="00EE01B1" w:rsidRDefault="00EE01B1" w:rsidP="00CA654C">
      <w:pPr>
        <w:widowControl w:val="0"/>
        <w:autoSpaceDE w:val="0"/>
        <w:autoSpaceDN w:val="0"/>
        <w:adjustRightInd w:val="0"/>
        <w:spacing w:after="120"/>
        <w:jc w:val="both"/>
      </w:pPr>
      <w:r>
        <w:t>Oltre quindici anni di attività petrolifera in Val d’Agri e del Centro Oli, hanno avuto come conseguenze:</w:t>
      </w:r>
    </w:p>
    <w:p w:rsidR="00EE01B1" w:rsidRDefault="00EE01B1" w:rsidP="002F0975">
      <w:pPr>
        <w:widowControl w:val="0"/>
        <w:numPr>
          <w:ilvl w:val="0"/>
          <w:numId w:val="5"/>
        </w:numPr>
        <w:autoSpaceDE w:val="0"/>
        <w:autoSpaceDN w:val="0"/>
        <w:adjustRightInd w:val="0"/>
        <w:spacing w:after="120"/>
        <w:jc w:val="both"/>
      </w:pPr>
      <w:r>
        <w:t>numerosi incidenti che si sono succeduti negli anni legati all’attività del centro o lungo gli oleodotti. Nel 2012 in particolare ci sono stati due episodi gravissimi. Il primo a marzo, con la fuoriuscita di greggio dall’oleodotto a Bernalda (Mt) e il secondo a settembre nel Centro oli di Viggiano che ha prodotto una grande paura, con l’impressione che un’esplosione fosse inevitabilmente imminente, praticamente sotto casa. È durato quattro ore l’intervento per riportare l’impianto in condizioni normali;</w:t>
      </w:r>
    </w:p>
    <w:p w:rsidR="00EE01B1" w:rsidRPr="00526316" w:rsidRDefault="00EE01B1" w:rsidP="002F0975">
      <w:pPr>
        <w:widowControl w:val="0"/>
        <w:numPr>
          <w:ilvl w:val="0"/>
          <w:numId w:val="5"/>
        </w:numPr>
        <w:autoSpaceDE w:val="0"/>
        <w:autoSpaceDN w:val="0"/>
        <w:adjustRightInd w:val="0"/>
        <w:spacing w:after="120"/>
        <w:jc w:val="both"/>
      </w:pPr>
      <w:r w:rsidRPr="00526316">
        <w:t>emissioni maleodoranti</w:t>
      </w:r>
      <w:r w:rsidR="00526316" w:rsidRPr="00526316">
        <w:t xml:space="preserve"> dovute soprattutto ai composti solforati</w:t>
      </w:r>
      <w:r w:rsidRPr="00526316">
        <w:t xml:space="preserve"> e </w:t>
      </w:r>
      <w:r w:rsidR="00526316" w:rsidRPr="00526316">
        <w:t>inquinamento acustico</w:t>
      </w:r>
      <w:r w:rsidRPr="00526316">
        <w:t xml:space="preserve"> molto frequenti;</w:t>
      </w:r>
    </w:p>
    <w:p w:rsidR="00EE01B1" w:rsidRDefault="00EE01B1" w:rsidP="002F0975">
      <w:pPr>
        <w:widowControl w:val="0"/>
        <w:numPr>
          <w:ilvl w:val="0"/>
          <w:numId w:val="5"/>
        </w:numPr>
        <w:autoSpaceDE w:val="0"/>
        <w:autoSpaceDN w:val="0"/>
        <w:adjustRightInd w:val="0"/>
        <w:spacing w:after="120"/>
        <w:jc w:val="both"/>
      </w:pPr>
      <w:r>
        <w:t>un notevole traffico di autocisterne, nonostante l’oleodotto, lungo la fondo valle dell’Agri;</w:t>
      </w:r>
    </w:p>
    <w:p w:rsidR="00EE01B1" w:rsidRDefault="00EE01B1" w:rsidP="002F0975">
      <w:pPr>
        <w:widowControl w:val="0"/>
        <w:numPr>
          <w:ilvl w:val="0"/>
          <w:numId w:val="5"/>
        </w:numPr>
        <w:autoSpaceDE w:val="0"/>
        <w:autoSpaceDN w:val="0"/>
        <w:adjustRightInd w:val="0"/>
        <w:spacing w:after="120"/>
        <w:jc w:val="both"/>
      </w:pPr>
      <w:r>
        <w:t>l’immagine di un territorio tutt’altro che vocato a produzioni agricole di qualità e alla promozione del turismo sostenibile, che rappresentano gli assi portanti delle traiettorie endogene di sviluppo locale. Una percezione che deriva dagli incidenti e dalle attività petrolifere, ma soprattutto dalla mancanza d’informazioni certe, chiare e tempestive, che hanno progressivamente alimentato gli allarmi e le preoccupazioni che ormai quotidianamente arrivano dal territorio.</w:t>
      </w:r>
    </w:p>
    <w:p w:rsidR="00EE01B1" w:rsidRDefault="00EE01B1" w:rsidP="002F0975">
      <w:pPr>
        <w:widowControl w:val="0"/>
        <w:numPr>
          <w:ilvl w:val="0"/>
          <w:numId w:val="5"/>
        </w:numPr>
        <w:autoSpaceDE w:val="0"/>
        <w:autoSpaceDN w:val="0"/>
        <w:adjustRightInd w:val="0"/>
        <w:spacing w:after="120"/>
        <w:jc w:val="both"/>
      </w:pPr>
      <w:r>
        <w:t xml:space="preserve">vantaggi occupazionali stimabili, come riportato nel </w:t>
      </w:r>
      <w:r w:rsidRPr="001B5E1E">
        <w:rPr>
          <w:i/>
        </w:rPr>
        <w:t xml:space="preserve">Local </w:t>
      </w:r>
      <w:r w:rsidR="001B5E1E" w:rsidRPr="001B5E1E">
        <w:rPr>
          <w:i/>
        </w:rPr>
        <w:t>R</w:t>
      </w:r>
      <w:r w:rsidRPr="001B5E1E">
        <w:rPr>
          <w:i/>
        </w:rPr>
        <w:t>eport</w:t>
      </w:r>
      <w:r>
        <w:t xml:space="preserve"> presentato da Eni il 21 dicembre 2012, in solo 143 unità locali direttamente occupate e altre 668, considerando i residenti in Val d’Agri, nell’indotto.</w:t>
      </w:r>
    </w:p>
    <w:p w:rsidR="008376DA" w:rsidRDefault="00EE01B1" w:rsidP="002F0975">
      <w:pPr>
        <w:widowControl w:val="0"/>
        <w:numPr>
          <w:ilvl w:val="0"/>
          <w:numId w:val="5"/>
        </w:numPr>
        <w:autoSpaceDE w:val="0"/>
        <w:autoSpaceDN w:val="0"/>
        <w:adjustRightInd w:val="0"/>
        <w:spacing w:after="120"/>
        <w:jc w:val="both"/>
      </w:pPr>
      <w:r>
        <w:t>un ingente flusso di denaro, anzitutto per l’Eni, e poi per lo Stato Italiano, la Regione Basilicata e i Comuni interessati. Eni quantifica il gettito totale di Royalties versate nelle casse della Regione e dei Comuni interessati dal 1998 al 2011 in oltre 585milioni di euro. Di questi 86 milioni sono stati versati ai Comuni interessati dalla concessione Val d’Agri (Calvello, Grumento Nova, Marsico Nuovo, Montemurro e Viggiano, che ha ricevuto oltre 63milioni di euro) che però finora non hanno portato a quello sviluppo del territorio auspicato.</w:t>
      </w:r>
    </w:p>
    <w:p w:rsidR="009F054D" w:rsidRDefault="00AB731C" w:rsidP="00CA654C">
      <w:pPr>
        <w:widowControl w:val="0"/>
        <w:autoSpaceDE w:val="0"/>
        <w:autoSpaceDN w:val="0"/>
        <w:adjustRightInd w:val="0"/>
        <w:spacing w:after="120"/>
        <w:jc w:val="both"/>
      </w:pPr>
      <w:r w:rsidRPr="00EE01B1">
        <w:t>F</w:t>
      </w:r>
      <w:r w:rsidR="00F10AB3" w:rsidRPr="00EE01B1">
        <w:t>ino ad oggi</w:t>
      </w:r>
      <w:r w:rsidR="002052B0" w:rsidRPr="00EE01B1">
        <w:t xml:space="preserve"> però </w:t>
      </w:r>
      <w:r w:rsidR="00F10AB3" w:rsidRPr="00EE01B1">
        <w:t xml:space="preserve">l’attività di controllo e monitoraggio </w:t>
      </w:r>
      <w:r w:rsidR="00DA35C2" w:rsidRPr="00EE01B1">
        <w:t xml:space="preserve">delle emissioni in atmosfera </w:t>
      </w:r>
      <w:r w:rsidR="00F10AB3" w:rsidRPr="00EE01B1">
        <w:t xml:space="preserve">da parte degli enti preposti è </w:t>
      </w:r>
      <w:r w:rsidRPr="00EE01B1">
        <w:t>stata totalmente assente, c</w:t>
      </w:r>
      <w:r w:rsidR="00F10AB3" w:rsidRPr="00EE01B1">
        <w:t xml:space="preserve">ome riportato anche </w:t>
      </w:r>
      <w:r w:rsidR="002052B0" w:rsidRPr="00EE01B1">
        <w:t>da</w:t>
      </w:r>
      <w:r w:rsidR="00DA35C2" w:rsidRPr="00EE01B1">
        <w:t xml:space="preserve"> Raffaele Vita, </w:t>
      </w:r>
      <w:r w:rsidR="00F10AB3" w:rsidRPr="00EE01B1">
        <w:t>l’</w:t>
      </w:r>
      <w:r w:rsidR="00D70F24" w:rsidRPr="00EE01B1">
        <w:t>attuale direttore dell’Agenzia</w:t>
      </w:r>
      <w:r w:rsidR="00F10AB3" w:rsidRPr="00EE01B1">
        <w:t xml:space="preserve"> Regiona</w:t>
      </w:r>
      <w:r w:rsidRPr="00EE01B1">
        <w:t>le di Protezione Ambienta</w:t>
      </w:r>
      <w:r w:rsidR="00F10AB3" w:rsidRPr="00EE01B1">
        <w:t>le (A</w:t>
      </w:r>
      <w:r w:rsidRPr="00EE01B1">
        <w:t>rpaB</w:t>
      </w:r>
      <w:r w:rsidR="00F10AB3" w:rsidRPr="00EE01B1">
        <w:t xml:space="preserve">) </w:t>
      </w:r>
      <w:r w:rsidR="009F0C2F" w:rsidRPr="00EE01B1">
        <w:t>,</w:t>
      </w:r>
      <w:r w:rsidR="00D70F24" w:rsidRPr="00EE01B1">
        <w:t xml:space="preserve"> </w:t>
      </w:r>
      <w:r w:rsidR="00DA35C2" w:rsidRPr="00EE01B1">
        <w:t xml:space="preserve">in occasione di un incontro con le associazioni ambientaliste </w:t>
      </w:r>
      <w:r w:rsidR="00D70F24" w:rsidRPr="00EE01B1">
        <w:t>ormai un anno e mezzo fa</w:t>
      </w:r>
      <w:r w:rsidR="009F0C2F" w:rsidRPr="00EE01B1">
        <w:t>:</w:t>
      </w:r>
      <w:r w:rsidR="000A069A" w:rsidRPr="00EE01B1">
        <w:t xml:space="preserve"> </w:t>
      </w:r>
      <w:r w:rsidR="001B5E1E">
        <w:t>“</w:t>
      </w:r>
      <w:r w:rsidR="000A069A" w:rsidRPr="00EE01B1">
        <w:rPr>
          <w:i/>
        </w:rPr>
        <w:t>l’attività</w:t>
      </w:r>
      <w:r w:rsidR="000A069A" w:rsidRPr="009F0C2F">
        <w:rPr>
          <w:i/>
        </w:rPr>
        <w:t xml:space="preserve"> di monitoraggio a</w:t>
      </w:r>
      <w:r>
        <w:rPr>
          <w:i/>
        </w:rPr>
        <w:t>mbientale dell’ArpaB</w:t>
      </w:r>
      <w:r w:rsidR="000A069A" w:rsidRPr="009F0C2F">
        <w:rPr>
          <w:i/>
        </w:rPr>
        <w:t xml:space="preserve"> per i</w:t>
      </w:r>
      <w:r w:rsidR="00BA4B67">
        <w:rPr>
          <w:i/>
        </w:rPr>
        <w:t xml:space="preserve"> primi 13 anni di attività del C</w:t>
      </w:r>
      <w:r w:rsidR="000A069A" w:rsidRPr="009F0C2F">
        <w:rPr>
          <w:i/>
        </w:rPr>
        <w:t>entro oli non è praticamente esistita</w:t>
      </w:r>
      <w:r w:rsidR="001B5E1E">
        <w:rPr>
          <w:i/>
        </w:rPr>
        <w:t>”</w:t>
      </w:r>
      <w:r w:rsidR="000A069A">
        <w:t>.</w:t>
      </w:r>
    </w:p>
    <w:p w:rsidR="005F3198" w:rsidRDefault="00BA4B67" w:rsidP="00CA654C">
      <w:pPr>
        <w:widowControl w:val="0"/>
        <w:autoSpaceDE w:val="0"/>
        <w:autoSpaceDN w:val="0"/>
        <w:adjustRightInd w:val="0"/>
        <w:spacing w:after="120"/>
        <w:jc w:val="both"/>
      </w:pPr>
      <w:r w:rsidRPr="00AB731C">
        <w:t xml:space="preserve">Lo scorso 14 dicembre è stato </w:t>
      </w:r>
      <w:r w:rsidR="005F3198">
        <w:t>finalmente</w:t>
      </w:r>
      <w:r w:rsidRPr="00AB731C">
        <w:t xml:space="preserve"> presentato </w:t>
      </w:r>
      <w:r w:rsidRPr="00AB731C">
        <w:rPr>
          <w:i/>
        </w:rPr>
        <w:t xml:space="preserve">il </w:t>
      </w:r>
      <w:r w:rsidR="00AB731C" w:rsidRPr="00AB731C">
        <w:rPr>
          <w:i/>
        </w:rPr>
        <w:t>P</w:t>
      </w:r>
      <w:r w:rsidRPr="00AB731C">
        <w:rPr>
          <w:i/>
        </w:rPr>
        <w:t xml:space="preserve">iano di azione per il controllo della qualità dell’aria in Val d’Agri </w:t>
      </w:r>
      <w:r w:rsidRPr="00AB731C">
        <w:t>approvato dalla Giunta Regionale, attualmente al vaglio delle Commissioni, per poi tornare in Giunta</w:t>
      </w:r>
      <w:r w:rsidR="00AB731C" w:rsidRPr="00AB731C">
        <w:t>.</w:t>
      </w:r>
      <w:r w:rsidR="00AB731C">
        <w:t xml:space="preserve"> Ci aspettiamo ora, da </w:t>
      </w:r>
      <w:r w:rsidR="00AB731C" w:rsidRPr="00AB731C">
        <w:t>p</w:t>
      </w:r>
      <w:r w:rsidR="00AB731C">
        <w:t>a</w:t>
      </w:r>
      <w:r w:rsidR="00AB731C" w:rsidRPr="00AB731C">
        <w:t>rte dell</w:t>
      </w:r>
      <w:r w:rsidR="00AB731C">
        <w:t>a R</w:t>
      </w:r>
      <w:r w:rsidR="00AB731C" w:rsidRPr="00AB731C">
        <w:t>egione e dell’Arpa Basilicata</w:t>
      </w:r>
      <w:r w:rsidR="00AB731C">
        <w:t xml:space="preserve">, una </w:t>
      </w:r>
      <w:r w:rsidR="00AB731C" w:rsidRPr="00EE01B1">
        <w:t xml:space="preserve">radicale inversione di tendenza, anche </w:t>
      </w:r>
      <w:r w:rsidR="00953F7B" w:rsidRPr="00EE01B1">
        <w:t xml:space="preserve">sulla scorta della passata esperienza, </w:t>
      </w:r>
      <w:r w:rsidR="00AB731C" w:rsidRPr="00EE01B1">
        <w:t xml:space="preserve">per poter fornire le </w:t>
      </w:r>
      <w:r w:rsidR="00AB731C" w:rsidRPr="00EE01B1">
        <w:lastRenderedPageBreak/>
        <w:t xml:space="preserve">necessarie </w:t>
      </w:r>
      <w:r w:rsidR="000324AC" w:rsidRPr="00EE01B1">
        <w:t>informazioni</w:t>
      </w:r>
      <w:r w:rsidR="00AB731C" w:rsidRPr="00EE01B1">
        <w:t xml:space="preserve"> rispetto ad un</w:t>
      </w:r>
      <w:r w:rsidR="005F6E3B" w:rsidRPr="00EE01B1">
        <w:t>’attività che già ha dimostrato di essere as</w:t>
      </w:r>
      <w:r w:rsidR="00D81E14" w:rsidRPr="00EE01B1">
        <w:t>sai difficilmente monitorabile.</w:t>
      </w:r>
    </w:p>
    <w:p w:rsidR="005F3198" w:rsidRDefault="000324AC" w:rsidP="00CA654C">
      <w:pPr>
        <w:widowControl w:val="0"/>
        <w:autoSpaceDE w:val="0"/>
        <w:autoSpaceDN w:val="0"/>
        <w:adjustRightInd w:val="0"/>
        <w:spacing w:after="120"/>
        <w:jc w:val="both"/>
      </w:pPr>
      <w:r w:rsidRPr="00EE01B1">
        <w:t>La stessa azione posta in essere ad oggi dall’Osservatorio Ambientale “Val d’Agri” è ampiamente insufficiente, la sua attività si sta limitando alla raccolt</w:t>
      </w:r>
      <w:r w:rsidR="001B5E1E">
        <w:t>a delle informazioni esistenti (</w:t>
      </w:r>
      <w:r w:rsidRPr="00EE01B1">
        <w:t>poche e frammentate) ed alla loro presentazione attraverso un portale che non aiuta molto sulla strada della comprensione del</w:t>
      </w:r>
      <w:r w:rsidR="00EE01B1">
        <w:t>l’</w:t>
      </w:r>
      <w:r w:rsidRPr="00EE01B1">
        <w:t>interazione fra l’attività industriale e l’ambiente e la salute degli abitanti della Val d’Agri.</w:t>
      </w:r>
    </w:p>
    <w:p w:rsidR="0095661D" w:rsidRDefault="005F3198" w:rsidP="00CA654C">
      <w:pPr>
        <w:widowControl w:val="0"/>
        <w:autoSpaceDE w:val="0"/>
        <w:autoSpaceDN w:val="0"/>
        <w:adjustRightInd w:val="0"/>
        <w:spacing w:after="120"/>
        <w:jc w:val="both"/>
      </w:pPr>
      <w:r>
        <w:t>Intanto aumenta la consapevolezza e l’azione degli Enti locali per la tutela del territorio e delle sue risorse</w:t>
      </w:r>
      <w:r w:rsidR="00EE01B1">
        <w:t xml:space="preserve"> come dimostra l</w:t>
      </w:r>
      <w:r w:rsidR="00101BED" w:rsidRPr="00101BED">
        <w:t xml:space="preserve">a delibera </w:t>
      </w:r>
      <w:r w:rsidR="00101BED" w:rsidRPr="00EA076E">
        <w:t xml:space="preserve">del 16 aprile 2012 del Consiglio Comunale di Grumento Nova, </w:t>
      </w:r>
      <w:r w:rsidR="00EE01B1">
        <w:t xml:space="preserve">approvata </w:t>
      </w:r>
      <w:r w:rsidR="00101BED" w:rsidRPr="00EA076E">
        <w:t xml:space="preserve">all’unanimità, </w:t>
      </w:r>
      <w:r w:rsidR="00EE01B1" w:rsidRPr="00EE01B1">
        <w:t xml:space="preserve">che </w:t>
      </w:r>
      <w:r w:rsidR="0095661D" w:rsidRPr="00EE01B1">
        <w:t xml:space="preserve">respinge la richiesta Eni spa di </w:t>
      </w:r>
      <w:r w:rsidR="00F844AF" w:rsidRPr="00EE01B1">
        <w:t>conversi</w:t>
      </w:r>
      <w:r w:rsidR="0095661D" w:rsidRPr="00EE01B1">
        <w:t>one</w:t>
      </w:r>
      <w:r w:rsidR="00101BED" w:rsidRPr="00EE01B1">
        <w:t xml:space="preserve"> d</w:t>
      </w:r>
      <w:r w:rsidR="0095661D" w:rsidRPr="00EE01B1">
        <w:t>el</w:t>
      </w:r>
      <w:r w:rsidR="00101BED" w:rsidRPr="00EE01B1">
        <w:t xml:space="preserve"> pozzo Monte</w:t>
      </w:r>
      <w:r w:rsidR="00101BED" w:rsidRPr="00EA076E">
        <w:t xml:space="preserve"> Alpi </w:t>
      </w:r>
      <w:smartTag w:uri="urn:schemas-microsoft-com:office:smarttags" w:element="metricconverter">
        <w:smartTagPr>
          <w:attr w:name="ProductID" w:val="9 a"/>
        </w:smartTagPr>
        <w:r w:rsidR="00101BED" w:rsidRPr="00EA076E">
          <w:t>9 a</w:t>
        </w:r>
      </w:smartTag>
      <w:r w:rsidR="00D371D9" w:rsidRPr="00EA076E">
        <w:t xml:space="preserve"> scopo di “</w:t>
      </w:r>
      <w:r w:rsidR="00101BED" w:rsidRPr="00EA076E">
        <w:t>reiniezione</w:t>
      </w:r>
      <w:r w:rsidR="00D371D9" w:rsidRPr="00EA076E">
        <w:t>”</w:t>
      </w:r>
      <w:r w:rsidR="00EE01B1">
        <w:t xml:space="preserve">. </w:t>
      </w:r>
      <w:r w:rsidR="001B5E1E">
        <w:t xml:space="preserve">Insieme a questo </w:t>
      </w:r>
      <w:r w:rsidR="00EE01B1" w:rsidRPr="00EE01B1">
        <w:t>anche</w:t>
      </w:r>
      <w:r w:rsidR="00101BED" w:rsidRPr="00EA076E">
        <w:t xml:space="preserve"> l</w:t>
      </w:r>
      <w:r w:rsidR="0095661D">
        <w:t>’incidente</w:t>
      </w:r>
      <w:r w:rsidR="00101BED" w:rsidRPr="00EA076E">
        <w:t xml:space="preserve"> </w:t>
      </w:r>
      <w:r w:rsidR="0095661D">
        <w:t>de</w:t>
      </w:r>
      <w:r w:rsidR="00101BED" w:rsidRPr="00EA076E">
        <w:t>ll’oleodotto verificatasi in territorio di Bernalda</w:t>
      </w:r>
      <w:r w:rsidR="00AB731C" w:rsidRPr="00EA076E">
        <w:t xml:space="preserve"> nel marzo scorso</w:t>
      </w:r>
      <w:r w:rsidR="00AB731C" w:rsidRPr="00526316">
        <w:t>,</w:t>
      </w:r>
      <w:r w:rsidR="001B5E1E" w:rsidRPr="00526316">
        <w:t xml:space="preserve"> apre</w:t>
      </w:r>
      <w:r w:rsidR="00101BED" w:rsidRPr="00EA076E">
        <w:t xml:space="preserve"> nuovi scenari e nuove fasi di valutazione e controllo dell’attività estrattiva, non solo in Val d’Agri ma </w:t>
      </w:r>
      <w:r w:rsidR="0095661D">
        <w:t>in tutto il territorio regionale.</w:t>
      </w:r>
    </w:p>
    <w:p w:rsidR="00FB5B23" w:rsidRDefault="00101BED" w:rsidP="00CA654C">
      <w:pPr>
        <w:widowControl w:val="0"/>
        <w:autoSpaceDE w:val="0"/>
        <w:autoSpaceDN w:val="0"/>
        <w:adjustRightInd w:val="0"/>
        <w:spacing w:after="120"/>
        <w:jc w:val="both"/>
      </w:pPr>
      <w:r w:rsidRPr="00EA076E">
        <w:t>Da una parte infatti, la mancata autorizzazione all’allestimento di Monte Alpi 9, fondandosi sul fatto che “non sussistono i presupposti di sicurezza e di tutela dell’incolumità della popolazione”, riporta in primo piano un aspetto assai relativizzato negli anni scorsi: i rischi ambientali</w:t>
      </w:r>
      <w:r w:rsidR="009F0C2F" w:rsidRPr="00EA076E">
        <w:t>,</w:t>
      </w:r>
      <w:r w:rsidRPr="00EA076E">
        <w:t xml:space="preserve"> a cui è</w:t>
      </w:r>
      <w:r w:rsidR="0095661D">
        <w:t xml:space="preserve"> esposta la popolazione locale.</w:t>
      </w:r>
      <w:r w:rsidR="00656B2E">
        <w:t xml:space="preserve"> </w:t>
      </w:r>
      <w:r w:rsidRPr="00EA076E">
        <w:t>Dall’altra, l’incidente-perdita occorso all’oleodotto sottolinea con forza l’esigenza di un sistema</w:t>
      </w:r>
      <w:r w:rsidR="00656B2E">
        <w:t xml:space="preserve"> </w:t>
      </w:r>
      <w:r w:rsidRPr="00EA076E">
        <w:t xml:space="preserve"> di monitoraggio complessivo dell’attività estrattiva, che riguardi l’intera filiera della coltivazione e prima lavorazione degli idrocarburi: l’estrazione, il trasporto, la desolforizzazio</w:t>
      </w:r>
      <w:r w:rsidR="00610AED">
        <w:t>ne e lo smaltimento dei fanghi.</w:t>
      </w:r>
    </w:p>
    <w:p w:rsidR="00D25555" w:rsidRDefault="0044171F" w:rsidP="00CA654C">
      <w:pPr>
        <w:spacing w:after="120"/>
        <w:jc w:val="both"/>
      </w:pPr>
      <w:r w:rsidRPr="0044171F">
        <w:t>Ma il Comune di Grumento Nova non è l’unica amministrazione a fermare con atti ufficiali l’espansione delle attività petrolifere sul territorio lucano. Infatti nell’estate scorsa è stata approvata la legge regionale n.16 dell’8 agosto 2012</w:t>
      </w:r>
      <w:r w:rsidR="00EA076E">
        <w:t>.</w:t>
      </w:r>
      <w:r w:rsidRPr="0044171F">
        <w:t xml:space="preserve"> </w:t>
      </w:r>
      <w:r w:rsidR="00EA076E">
        <w:t>È</w:t>
      </w:r>
      <w:r>
        <w:t xml:space="preserve"> la cosiddetta moratoria petrolifera, strumento legislativo che autorizza </w:t>
      </w:r>
      <w:smartTag w:uri="urn:schemas-microsoft-com:office:smarttags" w:element="PersonName">
        <w:smartTagPr>
          <w:attr w:name="ProductID" w:val="la Regione Basilicata"/>
        </w:smartTagPr>
        <w:r>
          <w:t>la Regione Basilicata</w:t>
        </w:r>
      </w:smartTag>
      <w:r>
        <w:t xml:space="preserve"> a rigettare nuove istanze di permesso di ricerca </w:t>
      </w:r>
      <w:r w:rsidR="004B4A7E">
        <w:t xml:space="preserve">presentate da aziende minerarie </w:t>
      </w:r>
      <w:r w:rsidR="009130FC">
        <w:t xml:space="preserve">e </w:t>
      </w:r>
      <w:r w:rsidR="004B4A7E">
        <w:t xml:space="preserve">che vede la contrapposizione fra la Regione e </w:t>
      </w:r>
      <w:r w:rsidR="00656B2E">
        <w:t xml:space="preserve">il Governo che </w:t>
      </w:r>
      <w:r>
        <w:t xml:space="preserve">ad ottobre 2012 </w:t>
      </w:r>
      <w:r w:rsidR="009130FC" w:rsidRPr="009130FC">
        <w:t xml:space="preserve">ha impugnato </w:t>
      </w:r>
      <w:r>
        <w:t>davanti alla Co</w:t>
      </w:r>
      <w:r w:rsidR="004B4A7E">
        <w:t>rte Costituzionale la legge lucana</w:t>
      </w:r>
      <w:r w:rsidR="00D25555">
        <w:t>.</w:t>
      </w:r>
    </w:p>
    <w:p w:rsidR="00C15E74" w:rsidRDefault="00C15E74" w:rsidP="00CA654C">
      <w:pPr>
        <w:spacing w:after="120"/>
        <w:jc w:val="both"/>
        <w:rPr>
          <w:i/>
        </w:rPr>
      </w:pPr>
      <w:r w:rsidRPr="009130FC">
        <w:t>In attesa del responso della Corte Costituzionale, la posizione della Regione rappresenta comunque un importante cambio di passo rispetto al passato</w:t>
      </w:r>
      <w:r w:rsidR="00D25555" w:rsidRPr="009130FC">
        <w:t xml:space="preserve"> che Legambiente ha apprezzato e sostenuto</w:t>
      </w:r>
      <w:r w:rsidRPr="009130FC">
        <w:t>. Una svolta che Legambiente Basilicata chiede</w:t>
      </w:r>
      <w:r w:rsidR="00D25555" w:rsidRPr="009130FC">
        <w:t>va</w:t>
      </w:r>
      <w:r w:rsidRPr="009130FC">
        <w:t xml:space="preserve"> da tempo e ribadita anche in occasione dell’ultimo Congresso regionale, come riportato nel documento congressuale: </w:t>
      </w:r>
      <w:r w:rsidRPr="009130FC">
        <w:rPr>
          <w:i/>
        </w:rPr>
        <w:t xml:space="preserve">“Per </w:t>
      </w:r>
      <w:smartTag w:uri="urn:schemas-microsoft-com:office:smarttags" w:element="PersonName">
        <w:smartTagPr>
          <w:attr w:name="ProductID" w:val="la Basilicata"/>
        </w:smartTagPr>
        <w:r w:rsidRPr="009130FC">
          <w:rPr>
            <w:i/>
          </w:rPr>
          <w:t>la Basilicata</w:t>
        </w:r>
      </w:smartTag>
      <w:r w:rsidRPr="00C450A9">
        <w:rPr>
          <w:i/>
        </w:rPr>
        <w:t xml:space="preserve"> è necessari</w:t>
      </w:r>
      <w:r w:rsidR="00D25555">
        <w:rPr>
          <w:i/>
        </w:rPr>
        <w:t>a</w:t>
      </w:r>
      <w:r w:rsidRPr="00C450A9">
        <w:rPr>
          <w:i/>
        </w:rPr>
        <w:t xml:space="preserve"> una forte azione in sinergia fra Regione ed Enti locali per bloccare ogni ipotesi di ulteriore attività estrattiva sul territorio regionale, in particolare in quelle aree a forte vocazione naturale o caratterizzate da attività economiche, come quelle agricole, turistiche, ecc., che sono difficilmente compatibili con la pre</w:t>
      </w:r>
      <w:r w:rsidR="00656B2E">
        <w:rPr>
          <w:i/>
        </w:rPr>
        <w:t>senza dell’industria estrattiva</w:t>
      </w:r>
      <w:r w:rsidRPr="00C450A9">
        <w:rPr>
          <w:i/>
        </w:rPr>
        <w:t>”</w:t>
      </w:r>
      <w:r w:rsidR="004B4A7E">
        <w:rPr>
          <w:i/>
        </w:rPr>
        <w:t>.</w:t>
      </w:r>
    </w:p>
    <w:p w:rsidR="004B4A7E" w:rsidRPr="009130FC" w:rsidRDefault="00656B2E" w:rsidP="00CA654C">
      <w:pPr>
        <w:spacing w:after="120"/>
        <w:jc w:val="both"/>
      </w:pPr>
      <w:r>
        <w:t>L</w:t>
      </w:r>
      <w:r w:rsidR="004B4A7E" w:rsidRPr="009130FC">
        <w:t xml:space="preserve">a strada di bloccare nuove ricerche ed estrazioni </w:t>
      </w:r>
      <w:r>
        <w:t xml:space="preserve">è una scelta necessaria, </w:t>
      </w:r>
      <w:r w:rsidR="004B4A7E" w:rsidRPr="009130FC">
        <w:t>perché estendere l’attività estrattiva in altre aree della regione</w:t>
      </w:r>
      <w:r>
        <w:t>,</w:t>
      </w:r>
      <w:r w:rsidR="004B4A7E" w:rsidRPr="009130FC">
        <w:t xml:space="preserve"> come invece le compagnie vorrebbero fare</w:t>
      </w:r>
      <w:r>
        <w:t xml:space="preserve">, </w:t>
      </w:r>
      <w:r w:rsidRPr="009130FC">
        <w:t>non è sostenibile</w:t>
      </w:r>
      <w:r w:rsidR="004B4A7E" w:rsidRPr="009130FC">
        <w:t>.</w:t>
      </w:r>
      <w:r>
        <w:t xml:space="preserve"> Così come è assolutamente condivisibile </w:t>
      </w:r>
      <w:r w:rsidR="004B4A7E" w:rsidRPr="00656B2E">
        <w:t>l’affermazione politica che, su proposta del presidente della Regione, il Consiglio ha approvato all’unanimità, sulla insostenibilità in Basilicata dell’estensione delle aree interessate alle attività petrolifere.</w:t>
      </w:r>
      <w:r>
        <w:t xml:space="preserve"> La norma s</w:t>
      </w:r>
      <w:r w:rsidRPr="009130FC">
        <w:t>ta</w:t>
      </w:r>
      <w:r>
        <w:t xml:space="preserve"> già</w:t>
      </w:r>
      <w:r w:rsidRPr="009130FC">
        <w:t xml:space="preserve"> producendo</w:t>
      </w:r>
      <w:r w:rsidR="004B4A7E" w:rsidRPr="009130FC">
        <w:t xml:space="preserve"> i primi </w:t>
      </w:r>
      <w:r>
        <w:t xml:space="preserve">apprezzabili </w:t>
      </w:r>
      <w:r w:rsidR="004B4A7E" w:rsidRPr="009130FC">
        <w:t>risultati concreti con il blocco di alcuni iter autorizzativi, in questa nuova stagione d</w:t>
      </w:r>
      <w:r>
        <w:t>i scontro e contenzioso con il G</w:t>
      </w:r>
      <w:r w:rsidR="004B4A7E" w:rsidRPr="009130FC">
        <w:t>overno nazionale che</w:t>
      </w:r>
      <w:r w:rsidR="009130FC" w:rsidRPr="009130FC">
        <w:t xml:space="preserve"> </w:t>
      </w:r>
      <w:r w:rsidR="004B4A7E" w:rsidRPr="009130FC">
        <w:t xml:space="preserve">non vuole comprendere </w:t>
      </w:r>
      <w:r w:rsidR="009130FC" w:rsidRPr="009130FC">
        <w:t xml:space="preserve">la necessità di </w:t>
      </w:r>
      <w:r w:rsidR="004B4A7E" w:rsidRPr="009130FC">
        <w:t>porre un freno all’espansione dell’industria petrolifera in Basilicata.</w:t>
      </w:r>
    </w:p>
    <w:p w:rsidR="0013301E" w:rsidRDefault="00C15E74" w:rsidP="00CA654C">
      <w:pPr>
        <w:autoSpaceDE w:val="0"/>
        <w:spacing w:after="120"/>
        <w:jc w:val="both"/>
      </w:pPr>
      <w:r>
        <w:t xml:space="preserve">In Val d’Agri </w:t>
      </w:r>
      <w:r w:rsidR="0013301E">
        <w:t>ora è necessario</w:t>
      </w:r>
      <w:r w:rsidRPr="0013301E">
        <w:t xml:space="preserve"> </w:t>
      </w:r>
      <w:r w:rsidRPr="0013301E">
        <w:rPr>
          <w:rStyle w:val="Enfasicorsivo"/>
          <w:bCs/>
          <w:i w:val="0"/>
        </w:rPr>
        <w:t>recuperare il tempo perduto sul fronte dei controlli e della sicurezza</w:t>
      </w:r>
      <w:r w:rsidRPr="0013301E">
        <w:rPr>
          <w:i/>
        </w:rPr>
        <w:t xml:space="preserve">, </w:t>
      </w:r>
      <w:r w:rsidRPr="0013301E">
        <w:t>per i cittadini e per l’ambie</w:t>
      </w:r>
      <w:r w:rsidR="0013301E">
        <w:t>nte.</w:t>
      </w:r>
      <w:r w:rsidR="002052B0">
        <w:t xml:space="preserve"> </w:t>
      </w:r>
      <w:r>
        <w:t>Urge un sistema di mon</w:t>
      </w:r>
      <w:r w:rsidR="00D81E14">
        <w:t xml:space="preserve">itoraggio certo e trasparente, </w:t>
      </w:r>
      <w:r>
        <w:t xml:space="preserve">cui deve necessariamente accompagnarsi un insieme di regole e procedure chiare, oltre ad un livello di diffusione delle informazioni in tempo reale, fino ad oggi inesistente. Un sistema gestito e controllato dalla mano pubblica che sia in grado di “dettare” la linea, anche a scapito dei forti interessi economici in gioco. </w:t>
      </w:r>
      <w:r w:rsidRPr="00C86502">
        <w:rPr>
          <w:rStyle w:val="Enfasicorsivo"/>
          <w:bCs/>
          <w:i w:val="0"/>
        </w:rPr>
        <w:t xml:space="preserve">Un sistema che sia in grado di dare certezze e sicurezze ai cittadini che </w:t>
      </w:r>
      <w:r w:rsidRPr="00C86502">
        <w:rPr>
          <w:rStyle w:val="Enfasicorsivo"/>
          <w:bCs/>
          <w:i w:val="0"/>
        </w:rPr>
        <w:lastRenderedPageBreak/>
        <w:t>oggi invece vedono la presenza dell’industria petrolifera in Basilicata solo come una minaccia per la salute e per l’ambiente.</w:t>
      </w:r>
    </w:p>
    <w:p w:rsidR="0013301E" w:rsidRDefault="0013301E" w:rsidP="00CA654C">
      <w:pPr>
        <w:spacing w:after="120"/>
        <w:jc w:val="both"/>
      </w:pPr>
    </w:p>
    <w:p w:rsidR="00C15E74" w:rsidRDefault="00C15E74" w:rsidP="00CA654C">
      <w:pPr>
        <w:spacing w:after="120"/>
        <w:jc w:val="both"/>
      </w:pPr>
      <w:r>
        <w:t>Pertanto Legambiente ritiene irrinunciabile:</w:t>
      </w:r>
    </w:p>
    <w:p w:rsidR="002052B0" w:rsidRDefault="002052B0" w:rsidP="00CA654C">
      <w:pPr>
        <w:spacing w:after="120"/>
        <w:jc w:val="both"/>
      </w:pPr>
    </w:p>
    <w:p w:rsidR="00C15E74" w:rsidRDefault="00C15E74" w:rsidP="002F0975">
      <w:pPr>
        <w:numPr>
          <w:ilvl w:val="0"/>
          <w:numId w:val="2"/>
        </w:numPr>
        <w:spacing w:after="120"/>
        <w:jc w:val="both"/>
      </w:pPr>
      <w:r w:rsidRPr="00B15E62">
        <w:t>Una forte azione in sinergia fra Regione ed Enti locali per bloccare ogni ipotesi di ulteriore attività petrolifera sul territorio regionale, in particolare in quelle aree a forte vocazione naturale o caratterizzate da attività economiche, qua</w:t>
      </w:r>
      <w:r w:rsidR="00945E69">
        <w:t xml:space="preserve">li il turismo o l’agricoltura, </w:t>
      </w:r>
      <w:r w:rsidRPr="00B15E62">
        <w:t>che sono difficilmente compatibili con la presenza dell’industria estrattiva.</w:t>
      </w:r>
    </w:p>
    <w:p w:rsidR="00C15E74" w:rsidRDefault="00C15E74" w:rsidP="002F0975">
      <w:pPr>
        <w:numPr>
          <w:ilvl w:val="0"/>
          <w:numId w:val="2"/>
        </w:numPr>
        <w:spacing w:after="120"/>
        <w:jc w:val="both"/>
      </w:pPr>
      <w:r>
        <w:t xml:space="preserve">La costruzione di un quadro normativo regionale chiaro e definito attraverso cui </w:t>
      </w:r>
      <w:smartTag w:uri="urn:schemas-microsoft-com:office:smarttags" w:element="PersonName">
        <w:smartTagPr>
          <w:attr w:name="ProductID" w:val="la Regione Basilicata"/>
        </w:smartTagPr>
        <w:r>
          <w:t>la Regione Basilicata</w:t>
        </w:r>
      </w:smartTag>
      <w:r>
        <w:t xml:space="preserve"> punti a definire:</w:t>
      </w:r>
    </w:p>
    <w:p w:rsidR="00C15E74" w:rsidRDefault="00C15E74" w:rsidP="002F0975">
      <w:pPr>
        <w:numPr>
          <w:ilvl w:val="0"/>
          <w:numId w:val="3"/>
        </w:numPr>
        <w:spacing w:after="120"/>
        <w:jc w:val="both"/>
      </w:pPr>
      <w:r>
        <w:t xml:space="preserve">linee guida regionali in materia di rischio di incidenti rilevanti connessi con determinate attività </w:t>
      </w:r>
      <w:r w:rsidR="00D81E14">
        <w:t>tra le quali quella petrolifera;</w:t>
      </w:r>
    </w:p>
    <w:p w:rsidR="00C15E74" w:rsidRDefault="00C15E74" w:rsidP="002F0975">
      <w:pPr>
        <w:numPr>
          <w:ilvl w:val="0"/>
          <w:numId w:val="3"/>
        </w:numPr>
        <w:spacing w:after="120"/>
        <w:jc w:val="both"/>
      </w:pPr>
      <w:r>
        <w:t xml:space="preserve">le procedure per l’adozione degli interventi di salvaguardia dell’ambiente e del territorio in relazione alla presenza di stabilimenti a rischio incidente rilevante ai sensi del comma c) </w:t>
      </w:r>
      <w:r w:rsidR="002052B0">
        <w:t>dell’art.18 del D.Lgs. 334/1999 e s.m.i.;</w:t>
      </w:r>
    </w:p>
    <w:p w:rsidR="00FB5B23" w:rsidRPr="002052B0" w:rsidRDefault="00C15E74" w:rsidP="002F0975">
      <w:pPr>
        <w:numPr>
          <w:ilvl w:val="0"/>
          <w:numId w:val="3"/>
        </w:numPr>
        <w:spacing w:after="120"/>
        <w:jc w:val="both"/>
      </w:pPr>
      <w:r>
        <w:t xml:space="preserve">una procedura di autotutela per i cittadini della valle in caso di violazione dei limiti certi e diffusi </w:t>
      </w:r>
      <w:r w:rsidR="00656B2E" w:rsidRPr="00526316">
        <w:t xml:space="preserve">relativi ad emissioni o </w:t>
      </w:r>
      <w:r w:rsidRPr="00526316">
        <w:t>incidenti. Presupposto</w:t>
      </w:r>
      <w:r w:rsidRPr="002052B0">
        <w:t xml:space="preserve"> fondamentale è la diffusione delle informazioni in tempo reale, garanzia di traspa</w:t>
      </w:r>
      <w:r w:rsidR="00D81E14">
        <w:t>renza ed efficienza del sistema.</w:t>
      </w:r>
    </w:p>
    <w:p w:rsidR="00FB5B23" w:rsidRPr="002052B0" w:rsidRDefault="00FB5B23" w:rsidP="002F0975">
      <w:pPr>
        <w:numPr>
          <w:ilvl w:val="0"/>
          <w:numId w:val="2"/>
        </w:numPr>
        <w:spacing w:after="120"/>
        <w:jc w:val="both"/>
      </w:pPr>
      <w:r w:rsidRPr="002052B0">
        <w:t xml:space="preserve">l’istituzione da parte della Regione Basilicata di un </w:t>
      </w:r>
      <w:r w:rsidRPr="002052B0">
        <w:rPr>
          <w:rStyle w:val="Enfasigrassetto"/>
          <w:b w:val="0"/>
        </w:rPr>
        <w:t>“Tavolo della trasparenza” sulla questione petrolifera in Basilicata</w:t>
      </w:r>
      <w:r w:rsidRPr="002052B0">
        <w:t xml:space="preserve"> che coinvolga le</w:t>
      </w:r>
      <w:r w:rsidR="00656B2E">
        <w:t xml:space="preserve"> a</w:t>
      </w:r>
      <w:r w:rsidRPr="002052B0">
        <w:t xml:space="preserve">mministrazioni locali, l’Ente Parco, gli </w:t>
      </w:r>
      <w:r w:rsidR="00656B2E">
        <w:t>enti preposti al controllo, le a</w:t>
      </w:r>
      <w:r w:rsidRPr="002052B0">
        <w:t xml:space="preserve">ssociazioni territoriali e le </w:t>
      </w:r>
      <w:r w:rsidR="00656B2E">
        <w:t>a</w:t>
      </w:r>
      <w:r w:rsidRPr="002052B0">
        <w:t xml:space="preserve">ssociazioni </w:t>
      </w:r>
      <w:r w:rsidR="00656B2E">
        <w:t>a</w:t>
      </w:r>
      <w:r w:rsidRPr="002052B0">
        <w:t xml:space="preserve">mbientaliste, per avviare un processo di “diffusione democratica” delle informazioni, e per una condivisione delle scelte che gli Enti e </w:t>
      </w:r>
      <w:smartTag w:uri="urn:schemas-microsoft-com:office:smarttags" w:element="PersonName">
        <w:smartTagPr>
          <w:attr w:name="ProductID" w:val="la Regione"/>
        </w:smartTagPr>
        <w:r w:rsidRPr="002052B0">
          <w:t>la Regione</w:t>
        </w:r>
      </w:smartTag>
      <w:r w:rsidRPr="002052B0">
        <w:t xml:space="preserve"> sono chiamati ad esprimere.</w:t>
      </w:r>
    </w:p>
    <w:p w:rsidR="00C15E74" w:rsidRDefault="00C15E74" w:rsidP="002F0975">
      <w:pPr>
        <w:numPr>
          <w:ilvl w:val="0"/>
          <w:numId w:val="2"/>
        </w:numPr>
        <w:spacing w:after="120"/>
        <w:jc w:val="both"/>
      </w:pPr>
      <w:r w:rsidRPr="002052B0">
        <w:t xml:space="preserve">la definizione di un protocollo tra ENI, Ministero dell’Ambiente e Regione Basilicata, per la </w:t>
      </w:r>
      <w:r w:rsidRPr="002052B0">
        <w:rPr>
          <w:bCs/>
          <w:iCs/>
        </w:rPr>
        <w:t>minimizzazione degli impatti ambientali e dei fattori di rischio</w:t>
      </w:r>
      <w:r w:rsidRPr="002052B0">
        <w:rPr>
          <w:bCs/>
          <w:i/>
          <w:iCs/>
        </w:rPr>
        <w:t xml:space="preserve"> </w:t>
      </w:r>
      <w:r w:rsidRPr="002052B0">
        <w:t>legati all’attività petrolifera così come previsto da</w:t>
      </w:r>
      <w:r w:rsidR="002052B0">
        <w:t xml:space="preserve">ll’accordo sottoscritto </w:t>
      </w:r>
      <w:r w:rsidRPr="002052B0">
        <w:t>nel 1998 tra</w:t>
      </w:r>
      <w:r>
        <w:t xml:space="preserve"> Eni e Regione Basilicata;</w:t>
      </w:r>
    </w:p>
    <w:p w:rsidR="00D81E14" w:rsidRPr="00D81E14" w:rsidRDefault="00C15E74" w:rsidP="002F0975">
      <w:pPr>
        <w:numPr>
          <w:ilvl w:val="0"/>
          <w:numId w:val="2"/>
        </w:numPr>
        <w:spacing w:after="120"/>
        <w:jc w:val="both"/>
      </w:pPr>
      <w:r>
        <w:t>rafforzare in tempi rapidissimi il sistema di monitoraggio definendo nel contempo le adeguate forme di comunicazione ed informazione sulla base della massima chiarezza e trasparenza per i cittadini;</w:t>
      </w:r>
    </w:p>
    <w:p w:rsidR="0013301E" w:rsidRPr="00D81E14" w:rsidRDefault="00C15E74" w:rsidP="002F0975">
      <w:pPr>
        <w:numPr>
          <w:ilvl w:val="0"/>
          <w:numId w:val="2"/>
        </w:numPr>
        <w:spacing w:after="120"/>
        <w:jc w:val="both"/>
      </w:pPr>
      <w:r>
        <w:t>a</w:t>
      </w:r>
      <w:r w:rsidRPr="00257DF5">
        <w:t xml:space="preserve">prire una fase di </w:t>
      </w:r>
      <w:r>
        <w:t>valutazione sulla reale portata e sulle prospettive</w:t>
      </w:r>
      <w:r w:rsidRPr="00257DF5">
        <w:t xml:space="preserve"> in termini di sviluppo economico delle nostre aree interne, </w:t>
      </w:r>
      <w:r>
        <w:t>in relazione alla</w:t>
      </w:r>
      <w:r w:rsidRPr="00257DF5">
        <w:t xml:space="preserve"> ultra decennale attività estrattiva in Basilicata</w:t>
      </w:r>
      <w:r w:rsidR="00D81E14">
        <w:t>.</w:t>
      </w:r>
    </w:p>
    <w:p w:rsidR="00D81E14" w:rsidRPr="00D81E14" w:rsidRDefault="00D81E14" w:rsidP="00CA654C">
      <w:pPr>
        <w:spacing w:after="120"/>
        <w:ind w:left="720"/>
        <w:jc w:val="both"/>
      </w:pPr>
    </w:p>
    <w:p w:rsidR="0044171F" w:rsidRPr="00A871C3" w:rsidRDefault="0013301E" w:rsidP="002F0975">
      <w:pPr>
        <w:numPr>
          <w:ilvl w:val="0"/>
          <w:numId w:val="7"/>
        </w:numPr>
        <w:ind w:left="284" w:hanging="284"/>
        <w:jc w:val="both"/>
        <w:rPr>
          <w:b/>
          <w:sz w:val="28"/>
          <w:szCs w:val="28"/>
        </w:rPr>
      </w:pPr>
      <w:r>
        <w:rPr>
          <w:i/>
        </w:rPr>
        <w:br w:type="page"/>
      </w:r>
      <w:r w:rsidR="00A871C3" w:rsidRPr="00864794">
        <w:rPr>
          <w:rFonts w:ascii="(Tipo di carattere testo asiati" w:hAnsi="(Tipo di carattere testo asiati"/>
          <w:b/>
          <w:sz w:val="28"/>
          <w:szCs w:val="28"/>
        </w:rPr>
        <w:lastRenderedPageBreak/>
        <w:t>Il quadro attuale dell’attività estrattiva in Basilicata</w:t>
      </w:r>
    </w:p>
    <w:p w:rsidR="00E268C8" w:rsidRPr="001B4147" w:rsidRDefault="00E268C8" w:rsidP="001B4147">
      <w:pPr>
        <w:widowControl w:val="0"/>
        <w:autoSpaceDE w:val="0"/>
        <w:autoSpaceDN w:val="0"/>
        <w:adjustRightInd w:val="0"/>
        <w:jc w:val="both"/>
      </w:pPr>
    </w:p>
    <w:p w:rsidR="00953F7B" w:rsidRDefault="00953F7B" w:rsidP="00CA654C">
      <w:pPr>
        <w:widowControl w:val="0"/>
        <w:autoSpaceDE w:val="0"/>
        <w:autoSpaceDN w:val="0"/>
        <w:adjustRightInd w:val="0"/>
        <w:spacing w:after="120"/>
        <w:jc w:val="both"/>
      </w:pPr>
      <w:r>
        <w:t xml:space="preserve">Le attività di estrazione avviate in Basilicata dalle società petrolifere hanno sviluppato </w:t>
      </w:r>
      <w:r w:rsidR="00656B2E">
        <w:rPr>
          <w:b/>
          <w:bCs/>
        </w:rPr>
        <w:t xml:space="preserve">2 grossi programmi di ricerca e </w:t>
      </w:r>
      <w:r>
        <w:rPr>
          <w:b/>
          <w:bCs/>
        </w:rPr>
        <w:t xml:space="preserve">sfruttamento </w:t>
      </w:r>
      <w:r>
        <w:t>denominati TREND 1</w:t>
      </w:r>
      <w:r w:rsidR="0013301E">
        <w:t xml:space="preserve"> (Val d’Agri)</w:t>
      </w:r>
      <w:r>
        <w:t xml:space="preserve"> e TREND 2</w:t>
      </w:r>
      <w:r w:rsidR="0013301E">
        <w:t xml:space="preserve"> (Gorgoglione)</w:t>
      </w:r>
      <w:r>
        <w:t>.</w:t>
      </w:r>
    </w:p>
    <w:p w:rsidR="00B15ECF" w:rsidRDefault="00E268C8" w:rsidP="00CA654C">
      <w:pPr>
        <w:tabs>
          <w:tab w:val="left" w:pos="1380"/>
        </w:tabs>
        <w:spacing w:after="120"/>
        <w:jc w:val="both"/>
      </w:pPr>
      <w:r w:rsidRPr="00F65ACD">
        <w:rPr>
          <w:color w:val="000000"/>
        </w:rPr>
        <w:t>Le concessioni di coltivazione</w:t>
      </w:r>
      <w:r w:rsidR="00B15ECF">
        <w:rPr>
          <w:color w:val="000000"/>
        </w:rPr>
        <w:t xml:space="preserve"> per l’estrazione di petrolio in Basilicata sono 3</w:t>
      </w:r>
      <w:r w:rsidR="00B15ECF" w:rsidRPr="00B15ECF">
        <w:rPr>
          <w:color w:val="000000"/>
        </w:rPr>
        <w:t xml:space="preserve"> </w:t>
      </w:r>
      <w:r w:rsidR="00B15ECF" w:rsidRPr="00F65ACD">
        <w:rPr>
          <w:color w:val="000000"/>
        </w:rPr>
        <w:t xml:space="preserve">e si estendono su un territorio totale di </w:t>
      </w:r>
      <w:r w:rsidR="00B15ECF" w:rsidRPr="00F65ACD">
        <w:rPr>
          <w:b/>
          <w:color w:val="000000"/>
        </w:rPr>
        <w:t>1013,29 kmq</w:t>
      </w:r>
      <w:r w:rsidR="00B15ECF">
        <w:rPr>
          <w:color w:val="000000"/>
        </w:rPr>
        <w:t>:</w:t>
      </w:r>
      <w:r w:rsidRPr="00F65ACD">
        <w:rPr>
          <w:color w:val="000000"/>
        </w:rPr>
        <w:t xml:space="preserve"> </w:t>
      </w:r>
      <w:r w:rsidRPr="00F65ACD">
        <w:rPr>
          <w:b/>
          <w:color w:val="000000"/>
        </w:rPr>
        <w:t>Gorgoglione</w:t>
      </w:r>
      <w:r w:rsidR="00B15ECF">
        <w:rPr>
          <w:b/>
          <w:color w:val="000000"/>
        </w:rPr>
        <w:t xml:space="preserve"> (</w:t>
      </w:r>
      <w:r w:rsidR="00B15ECF">
        <w:rPr>
          <w:color w:val="000000"/>
        </w:rPr>
        <w:t>Total (75%) – S</w:t>
      </w:r>
      <w:r w:rsidR="00B15ECF" w:rsidRPr="00F65ACD">
        <w:rPr>
          <w:color w:val="000000"/>
        </w:rPr>
        <w:t>hell</w:t>
      </w:r>
      <w:r w:rsidR="00B15ECF">
        <w:rPr>
          <w:color w:val="000000"/>
        </w:rPr>
        <w:t xml:space="preserve"> Italia E&amp;P (25%)) </w:t>
      </w:r>
      <w:r w:rsidR="00B15ECF" w:rsidRPr="00F65ACD">
        <w:rPr>
          <w:color w:val="000000"/>
        </w:rPr>
        <w:t xml:space="preserve"> </w:t>
      </w:r>
      <w:r w:rsidRPr="00F65ACD">
        <w:rPr>
          <w:b/>
          <w:color w:val="000000"/>
        </w:rPr>
        <w:t>, Serra pizzuta</w:t>
      </w:r>
      <w:r w:rsidR="00B15ECF">
        <w:rPr>
          <w:b/>
          <w:color w:val="000000"/>
        </w:rPr>
        <w:t xml:space="preserve"> (ENI) </w:t>
      </w:r>
      <w:r w:rsidRPr="00F65ACD">
        <w:rPr>
          <w:b/>
          <w:color w:val="000000"/>
        </w:rPr>
        <w:t>e Val d’agri</w:t>
      </w:r>
      <w:r w:rsidR="00B15ECF">
        <w:rPr>
          <w:b/>
          <w:color w:val="000000"/>
        </w:rPr>
        <w:t>, che costituisce quella principale. Il titolo</w:t>
      </w:r>
      <w:r w:rsidR="00B15ECF">
        <w:rPr>
          <w:b/>
          <w:bCs/>
        </w:rPr>
        <w:t xml:space="preserve"> </w:t>
      </w:r>
      <w:r w:rsidR="00B15ECF">
        <w:t>si estende su una superfice territoriale di oltre 60mila ettari con operatore principale ENI (61% e il restante 39% di proprietà di Shell Italia E&amp;P) e si proietta su riserve stimate in 500 milioni di Boe (Barili olio equivalenti).</w:t>
      </w:r>
    </w:p>
    <w:p w:rsidR="000C1461" w:rsidRDefault="000C1461" w:rsidP="00E268C8">
      <w:pPr>
        <w:tabs>
          <w:tab w:val="left" w:pos="1380"/>
        </w:tabs>
        <w:jc w:val="both"/>
        <w:rPr>
          <w:color w:val="000000"/>
        </w:rPr>
      </w:pPr>
    </w:p>
    <w:p w:rsidR="000C1461" w:rsidRPr="000C1461" w:rsidRDefault="000C1461" w:rsidP="00E268C8">
      <w:pPr>
        <w:tabs>
          <w:tab w:val="left" w:pos="1380"/>
        </w:tabs>
        <w:jc w:val="both"/>
        <w:rPr>
          <w:b/>
        </w:rPr>
      </w:pPr>
      <w:r w:rsidRPr="000C1461">
        <w:rPr>
          <w:b/>
        </w:rPr>
        <w:t>Tabella: Concessioni di coltivazione di olio greggio in Basilicata</w:t>
      </w:r>
    </w:p>
    <w:p w:rsidR="00E268C8" w:rsidRPr="000C1461" w:rsidRDefault="00E268C8" w:rsidP="00E268C8">
      <w:pPr>
        <w:tabs>
          <w:tab w:val="left" w:pos="1380"/>
        </w:tabs>
        <w:jc w:val="both"/>
        <w:rPr>
          <w:color w:val="000000"/>
          <w:sz w:val="10"/>
          <w:szCs w:val="10"/>
        </w:rPr>
      </w:pPr>
    </w:p>
    <w:tbl>
      <w:tblPr>
        <w:tblW w:w="96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15"/>
        <w:gridCol w:w="966"/>
        <w:gridCol w:w="4052"/>
        <w:gridCol w:w="1849"/>
        <w:gridCol w:w="1510"/>
      </w:tblGrid>
      <w:tr w:rsidR="00E268C8">
        <w:trPr>
          <w:trHeight w:val="284"/>
          <w:jc w:val="center"/>
        </w:trPr>
        <w:tc>
          <w:tcPr>
            <w:tcW w:w="1315" w:type="dxa"/>
            <w:shd w:val="clear" w:color="auto" w:fill="99CCFF"/>
          </w:tcPr>
          <w:p w:rsidR="00E268C8" w:rsidRPr="0064183B" w:rsidRDefault="00E268C8" w:rsidP="0064183B">
            <w:pPr>
              <w:tabs>
                <w:tab w:val="left" w:pos="1380"/>
              </w:tabs>
              <w:rPr>
                <w:b/>
              </w:rPr>
            </w:pPr>
            <w:r w:rsidRPr="0064183B">
              <w:rPr>
                <w:b/>
              </w:rPr>
              <w:t>Nome</w:t>
            </w:r>
          </w:p>
        </w:tc>
        <w:tc>
          <w:tcPr>
            <w:tcW w:w="966" w:type="dxa"/>
            <w:shd w:val="clear" w:color="auto" w:fill="99CCFF"/>
          </w:tcPr>
          <w:p w:rsidR="00E268C8" w:rsidRPr="0064183B" w:rsidRDefault="00E268C8" w:rsidP="0064183B">
            <w:pPr>
              <w:tabs>
                <w:tab w:val="left" w:pos="1380"/>
              </w:tabs>
              <w:rPr>
                <w:b/>
              </w:rPr>
            </w:pPr>
            <w:r w:rsidRPr="0064183B">
              <w:rPr>
                <w:b/>
              </w:rPr>
              <w:t xml:space="preserve">Kmq </w:t>
            </w:r>
          </w:p>
        </w:tc>
        <w:tc>
          <w:tcPr>
            <w:tcW w:w="4052" w:type="dxa"/>
            <w:shd w:val="clear" w:color="auto" w:fill="99CCFF"/>
          </w:tcPr>
          <w:p w:rsidR="00E268C8" w:rsidRPr="0064183B" w:rsidRDefault="00E268C8" w:rsidP="0064183B">
            <w:pPr>
              <w:tabs>
                <w:tab w:val="left" w:pos="1380"/>
              </w:tabs>
              <w:rPr>
                <w:b/>
              </w:rPr>
            </w:pPr>
            <w:r w:rsidRPr="0064183B">
              <w:rPr>
                <w:b/>
              </w:rPr>
              <w:t>Comuni interessati</w:t>
            </w:r>
          </w:p>
        </w:tc>
        <w:tc>
          <w:tcPr>
            <w:tcW w:w="1849" w:type="dxa"/>
            <w:shd w:val="clear" w:color="auto" w:fill="99CCFF"/>
          </w:tcPr>
          <w:p w:rsidR="00E268C8" w:rsidRPr="0064183B" w:rsidRDefault="00E268C8" w:rsidP="0064183B">
            <w:pPr>
              <w:tabs>
                <w:tab w:val="left" w:pos="1380"/>
              </w:tabs>
              <w:rPr>
                <w:b/>
              </w:rPr>
            </w:pPr>
            <w:r w:rsidRPr="0064183B">
              <w:rPr>
                <w:b/>
              </w:rPr>
              <w:t>Società titolate</w:t>
            </w:r>
          </w:p>
        </w:tc>
        <w:tc>
          <w:tcPr>
            <w:tcW w:w="1510" w:type="dxa"/>
            <w:shd w:val="clear" w:color="auto" w:fill="99CCFF"/>
          </w:tcPr>
          <w:p w:rsidR="00E268C8" w:rsidRPr="0064183B" w:rsidRDefault="00E268C8" w:rsidP="0064183B">
            <w:pPr>
              <w:tabs>
                <w:tab w:val="left" w:pos="1380"/>
              </w:tabs>
              <w:rPr>
                <w:b/>
              </w:rPr>
            </w:pPr>
            <w:r w:rsidRPr="0064183B">
              <w:rPr>
                <w:b/>
              </w:rPr>
              <w:t>Produzione</w:t>
            </w:r>
          </w:p>
        </w:tc>
      </w:tr>
      <w:tr w:rsidR="00E268C8">
        <w:trPr>
          <w:trHeight w:val="473"/>
          <w:jc w:val="center"/>
        </w:trPr>
        <w:tc>
          <w:tcPr>
            <w:tcW w:w="1315" w:type="dxa"/>
            <w:shd w:val="clear" w:color="auto" w:fill="auto"/>
            <w:vAlign w:val="center"/>
          </w:tcPr>
          <w:p w:rsidR="00E268C8" w:rsidRPr="0064183B" w:rsidRDefault="00E268C8" w:rsidP="0064183B">
            <w:pPr>
              <w:tabs>
                <w:tab w:val="left" w:pos="1380"/>
              </w:tabs>
              <w:jc w:val="center"/>
              <w:rPr>
                <w:b/>
                <w:sz w:val="20"/>
                <w:szCs w:val="20"/>
              </w:rPr>
            </w:pPr>
            <w:r w:rsidRPr="0064183B">
              <w:rPr>
                <w:b/>
                <w:sz w:val="20"/>
                <w:szCs w:val="20"/>
              </w:rPr>
              <w:t>Gorgoglione</w:t>
            </w:r>
          </w:p>
        </w:tc>
        <w:tc>
          <w:tcPr>
            <w:tcW w:w="966"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290,59</w:t>
            </w:r>
          </w:p>
        </w:tc>
        <w:tc>
          <w:tcPr>
            <w:tcW w:w="4052"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Gorgoglione, Laurenzana, Corleto perticara e Stigliano</w:t>
            </w:r>
          </w:p>
        </w:tc>
        <w:tc>
          <w:tcPr>
            <w:tcW w:w="1849"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Total - Shell</w:t>
            </w:r>
          </w:p>
        </w:tc>
        <w:tc>
          <w:tcPr>
            <w:tcW w:w="1510"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 Gas naturale</w:t>
            </w:r>
          </w:p>
          <w:p w:rsidR="00E268C8" w:rsidRPr="0064183B" w:rsidRDefault="00E268C8" w:rsidP="0064183B">
            <w:pPr>
              <w:tabs>
                <w:tab w:val="left" w:pos="1380"/>
              </w:tabs>
              <w:jc w:val="center"/>
              <w:rPr>
                <w:sz w:val="20"/>
                <w:szCs w:val="20"/>
              </w:rPr>
            </w:pPr>
            <w:r w:rsidRPr="0064183B">
              <w:rPr>
                <w:sz w:val="20"/>
                <w:szCs w:val="20"/>
              </w:rPr>
              <w:t>- Olio Greggio</w:t>
            </w:r>
          </w:p>
        </w:tc>
      </w:tr>
      <w:tr w:rsidR="00E268C8">
        <w:trPr>
          <w:trHeight w:val="336"/>
          <w:jc w:val="center"/>
        </w:trPr>
        <w:tc>
          <w:tcPr>
            <w:tcW w:w="1315" w:type="dxa"/>
            <w:shd w:val="clear" w:color="auto" w:fill="auto"/>
            <w:vAlign w:val="center"/>
          </w:tcPr>
          <w:p w:rsidR="00E268C8" w:rsidRPr="0064183B" w:rsidRDefault="00E268C8" w:rsidP="0064183B">
            <w:pPr>
              <w:tabs>
                <w:tab w:val="left" w:pos="1380"/>
              </w:tabs>
              <w:jc w:val="center"/>
              <w:rPr>
                <w:b/>
                <w:sz w:val="20"/>
                <w:szCs w:val="20"/>
              </w:rPr>
            </w:pPr>
            <w:r w:rsidRPr="0064183B">
              <w:rPr>
                <w:b/>
                <w:sz w:val="20"/>
                <w:szCs w:val="20"/>
              </w:rPr>
              <w:t>Serra Pizzuta</w:t>
            </w:r>
          </w:p>
        </w:tc>
        <w:tc>
          <w:tcPr>
            <w:tcW w:w="966"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62,55</w:t>
            </w:r>
          </w:p>
        </w:tc>
        <w:tc>
          <w:tcPr>
            <w:tcW w:w="4052"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Pisticci</w:t>
            </w:r>
          </w:p>
        </w:tc>
        <w:tc>
          <w:tcPr>
            <w:tcW w:w="1849"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Eni</w:t>
            </w:r>
          </w:p>
        </w:tc>
        <w:tc>
          <w:tcPr>
            <w:tcW w:w="1510"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 Gas naturale</w:t>
            </w:r>
          </w:p>
          <w:p w:rsidR="00E268C8" w:rsidRPr="0064183B" w:rsidRDefault="00E268C8" w:rsidP="0064183B">
            <w:pPr>
              <w:tabs>
                <w:tab w:val="left" w:pos="1380"/>
              </w:tabs>
              <w:jc w:val="center"/>
              <w:rPr>
                <w:sz w:val="20"/>
                <w:szCs w:val="20"/>
              </w:rPr>
            </w:pPr>
            <w:r w:rsidRPr="0064183B">
              <w:rPr>
                <w:sz w:val="20"/>
                <w:szCs w:val="20"/>
              </w:rPr>
              <w:t>- Olio Greggio</w:t>
            </w:r>
          </w:p>
        </w:tc>
      </w:tr>
      <w:tr w:rsidR="00E268C8">
        <w:trPr>
          <w:trHeight w:val="556"/>
          <w:jc w:val="center"/>
        </w:trPr>
        <w:tc>
          <w:tcPr>
            <w:tcW w:w="1315" w:type="dxa"/>
            <w:shd w:val="clear" w:color="auto" w:fill="auto"/>
            <w:vAlign w:val="center"/>
          </w:tcPr>
          <w:p w:rsidR="00E268C8" w:rsidRPr="0064183B" w:rsidRDefault="00E268C8" w:rsidP="0064183B">
            <w:pPr>
              <w:tabs>
                <w:tab w:val="left" w:pos="1380"/>
              </w:tabs>
              <w:jc w:val="center"/>
              <w:rPr>
                <w:b/>
                <w:sz w:val="20"/>
                <w:szCs w:val="20"/>
              </w:rPr>
            </w:pPr>
            <w:r w:rsidRPr="0064183B">
              <w:rPr>
                <w:b/>
                <w:sz w:val="20"/>
                <w:szCs w:val="20"/>
              </w:rPr>
              <w:t>Val D’agri</w:t>
            </w:r>
          </w:p>
        </w:tc>
        <w:tc>
          <w:tcPr>
            <w:tcW w:w="966"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660,15</w:t>
            </w:r>
          </w:p>
        </w:tc>
        <w:tc>
          <w:tcPr>
            <w:tcW w:w="4052"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Viggiano, Tramutola, Moliterno, Marsico nuovo, Montemurro</w:t>
            </w:r>
          </w:p>
        </w:tc>
        <w:tc>
          <w:tcPr>
            <w:tcW w:w="1849"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Eni – Shell</w:t>
            </w:r>
          </w:p>
        </w:tc>
        <w:tc>
          <w:tcPr>
            <w:tcW w:w="1510" w:type="dxa"/>
            <w:shd w:val="clear" w:color="auto" w:fill="auto"/>
            <w:vAlign w:val="center"/>
          </w:tcPr>
          <w:p w:rsidR="00E268C8" w:rsidRPr="0064183B" w:rsidRDefault="00E268C8" w:rsidP="0064183B">
            <w:pPr>
              <w:tabs>
                <w:tab w:val="left" w:pos="1380"/>
              </w:tabs>
              <w:jc w:val="center"/>
              <w:rPr>
                <w:sz w:val="20"/>
                <w:szCs w:val="20"/>
              </w:rPr>
            </w:pPr>
            <w:r w:rsidRPr="0064183B">
              <w:rPr>
                <w:sz w:val="20"/>
                <w:szCs w:val="20"/>
              </w:rPr>
              <w:t>- Gas naturale</w:t>
            </w:r>
          </w:p>
          <w:p w:rsidR="00E268C8" w:rsidRPr="0064183B" w:rsidRDefault="00E268C8" w:rsidP="0064183B">
            <w:pPr>
              <w:tabs>
                <w:tab w:val="left" w:pos="1380"/>
              </w:tabs>
              <w:jc w:val="center"/>
              <w:rPr>
                <w:sz w:val="20"/>
                <w:szCs w:val="20"/>
              </w:rPr>
            </w:pPr>
            <w:r w:rsidRPr="0064183B">
              <w:rPr>
                <w:sz w:val="20"/>
                <w:szCs w:val="20"/>
              </w:rPr>
              <w:t>- Olio Greggio</w:t>
            </w:r>
          </w:p>
        </w:tc>
      </w:tr>
      <w:tr w:rsidR="00E268C8" w:rsidRPr="00EA1DC6">
        <w:trPr>
          <w:trHeight w:val="298"/>
          <w:jc w:val="center"/>
        </w:trPr>
        <w:tc>
          <w:tcPr>
            <w:tcW w:w="1315" w:type="dxa"/>
            <w:shd w:val="clear" w:color="auto" w:fill="auto"/>
          </w:tcPr>
          <w:p w:rsidR="00E268C8" w:rsidRPr="0064183B" w:rsidRDefault="00E268C8" w:rsidP="0064183B">
            <w:pPr>
              <w:tabs>
                <w:tab w:val="left" w:pos="1380"/>
              </w:tabs>
              <w:rPr>
                <w:sz w:val="20"/>
                <w:szCs w:val="20"/>
              </w:rPr>
            </w:pPr>
          </w:p>
        </w:tc>
        <w:tc>
          <w:tcPr>
            <w:tcW w:w="966" w:type="dxa"/>
            <w:shd w:val="clear" w:color="auto" w:fill="auto"/>
          </w:tcPr>
          <w:p w:rsidR="00E268C8" w:rsidRPr="00EA1DC6" w:rsidRDefault="00E268C8" w:rsidP="0064183B">
            <w:pPr>
              <w:tabs>
                <w:tab w:val="left" w:pos="1380"/>
              </w:tabs>
              <w:rPr>
                <w:sz w:val="20"/>
                <w:szCs w:val="20"/>
              </w:rPr>
            </w:pPr>
            <w:r w:rsidRPr="00EA1DC6">
              <w:rPr>
                <w:b/>
                <w:sz w:val="20"/>
                <w:szCs w:val="20"/>
              </w:rPr>
              <w:t>1013,29</w:t>
            </w:r>
          </w:p>
        </w:tc>
        <w:tc>
          <w:tcPr>
            <w:tcW w:w="4052" w:type="dxa"/>
            <w:shd w:val="clear" w:color="auto" w:fill="auto"/>
          </w:tcPr>
          <w:p w:rsidR="00E268C8" w:rsidRPr="00EA1DC6" w:rsidRDefault="00E268C8" w:rsidP="0064183B">
            <w:pPr>
              <w:tabs>
                <w:tab w:val="left" w:pos="1380"/>
              </w:tabs>
              <w:rPr>
                <w:sz w:val="20"/>
                <w:szCs w:val="20"/>
              </w:rPr>
            </w:pPr>
          </w:p>
        </w:tc>
        <w:tc>
          <w:tcPr>
            <w:tcW w:w="1849" w:type="dxa"/>
            <w:shd w:val="clear" w:color="auto" w:fill="auto"/>
          </w:tcPr>
          <w:p w:rsidR="00E268C8" w:rsidRPr="00EA1DC6" w:rsidRDefault="00E268C8" w:rsidP="0064183B">
            <w:pPr>
              <w:tabs>
                <w:tab w:val="left" w:pos="1380"/>
              </w:tabs>
              <w:rPr>
                <w:sz w:val="20"/>
                <w:szCs w:val="20"/>
              </w:rPr>
            </w:pPr>
          </w:p>
        </w:tc>
        <w:tc>
          <w:tcPr>
            <w:tcW w:w="1510" w:type="dxa"/>
            <w:shd w:val="clear" w:color="auto" w:fill="auto"/>
          </w:tcPr>
          <w:p w:rsidR="00E268C8" w:rsidRPr="00EA1DC6" w:rsidRDefault="00E268C8" w:rsidP="0064183B">
            <w:pPr>
              <w:tabs>
                <w:tab w:val="left" w:pos="1380"/>
              </w:tabs>
              <w:rPr>
                <w:sz w:val="20"/>
                <w:szCs w:val="20"/>
              </w:rPr>
            </w:pPr>
          </w:p>
        </w:tc>
      </w:tr>
    </w:tbl>
    <w:p w:rsidR="00E268C8" w:rsidRPr="00EA1DC6" w:rsidRDefault="00E268C8" w:rsidP="00E268C8">
      <w:pPr>
        <w:tabs>
          <w:tab w:val="left" w:pos="1380"/>
        </w:tabs>
        <w:jc w:val="both"/>
        <w:rPr>
          <w:color w:val="000000"/>
          <w:sz w:val="10"/>
          <w:szCs w:val="10"/>
        </w:rPr>
      </w:pPr>
    </w:p>
    <w:p w:rsidR="00E268C8" w:rsidRPr="00EA1DC6" w:rsidRDefault="000C1461" w:rsidP="00CA654C">
      <w:pPr>
        <w:spacing w:after="240"/>
        <w:jc w:val="both"/>
        <w:rPr>
          <w:i/>
        </w:rPr>
      </w:pPr>
      <w:r w:rsidRPr="00EA1DC6">
        <w:rPr>
          <w:i/>
        </w:rPr>
        <w:t>Fonte: elaborazione Legambiente su dati del Ministero dello sviluppo economico</w:t>
      </w:r>
    </w:p>
    <w:p w:rsidR="009660C4" w:rsidRDefault="00A62831" w:rsidP="00CA654C">
      <w:pPr>
        <w:spacing w:after="120"/>
        <w:jc w:val="both"/>
      </w:pPr>
      <w:r w:rsidRPr="00EA1DC6">
        <w:t>Nel giacimento</w:t>
      </w:r>
      <w:r w:rsidR="002052B0">
        <w:t xml:space="preserve"> Val d’Agri</w:t>
      </w:r>
      <w:r w:rsidRPr="00EA1DC6">
        <w:t xml:space="preserve"> dell'Eni (con una partecipazione minoritaria di Shell</w:t>
      </w:r>
      <w:r w:rsidR="002052B0">
        <w:t>)</w:t>
      </w:r>
      <w:r w:rsidRPr="00EA1DC6">
        <w:t xml:space="preserve"> la produzione attuale è di circa 85mila barili/giorno, ma le previsioni sono di arrivare a </w:t>
      </w:r>
      <w:r w:rsidRPr="002052B0">
        <w:t>circa 130mila con</w:t>
      </w:r>
      <w:r w:rsidRPr="00EA1DC6">
        <w:t xml:space="preserve"> il nuovo Piano di sviluppo in corso di negoziazione. Si aggiungeranno</w:t>
      </w:r>
      <w:r w:rsidR="009660C4">
        <w:t xml:space="preserve"> poi i </w:t>
      </w:r>
      <w:r w:rsidRPr="00EA1DC6">
        <w:t xml:space="preserve">50mila barili/giorno che saranno prodotti dalla Total (anch'essa con Shell socio di minoranza) nel giacimento di Tempa Rossa a partire dal </w:t>
      </w:r>
      <w:smartTag w:uri="urn:schemas-microsoft-com:office:smarttags" w:element="metricconverter">
        <w:smartTagPr>
          <w:attr w:name="ProductID" w:val="2015. In"/>
        </w:smartTagPr>
        <w:r w:rsidRPr="00EA1DC6">
          <w:t>2015. In</w:t>
        </w:r>
      </w:smartTag>
      <w:r w:rsidRPr="00EA1DC6">
        <w:t xml:space="preserve"> tutto, quindi, circa 180mila barili di petrolio al giorno. </w:t>
      </w:r>
    </w:p>
    <w:p w:rsidR="00E268C8" w:rsidRPr="00EA1DC6" w:rsidRDefault="009660C4" w:rsidP="00CA654C">
      <w:pPr>
        <w:spacing w:after="120"/>
        <w:jc w:val="both"/>
        <w:rPr>
          <w:color w:val="000000"/>
        </w:rPr>
      </w:pPr>
      <w:r>
        <w:t xml:space="preserve">Nel 2011 in Basilicata </w:t>
      </w:r>
      <w:r w:rsidR="00E268C8" w:rsidRPr="00EA1DC6">
        <w:rPr>
          <w:color w:val="000000"/>
        </w:rPr>
        <w:t>la produzione di petrolio è stata di 3,74 milioni di tonnellate circa il 71%</w:t>
      </w:r>
      <w:r>
        <w:rPr>
          <w:color w:val="000000"/>
        </w:rPr>
        <w:t xml:space="preserve"> del totale nazionale</w:t>
      </w:r>
      <w:r w:rsidR="00E268C8" w:rsidRPr="00EA1DC6">
        <w:rPr>
          <w:color w:val="000000"/>
        </w:rPr>
        <w:t>.</w:t>
      </w:r>
      <w:r w:rsidR="0050232D" w:rsidRPr="00EA1DC6">
        <w:rPr>
          <w:color w:val="000000"/>
        </w:rPr>
        <w:t xml:space="preserve"> </w:t>
      </w:r>
      <w:r>
        <w:rPr>
          <w:color w:val="000000"/>
        </w:rPr>
        <w:t>Nel primo semestre</w:t>
      </w:r>
      <w:r w:rsidR="00E268C8" w:rsidRPr="00EA1DC6">
        <w:rPr>
          <w:color w:val="000000"/>
        </w:rPr>
        <w:t xml:space="preserve"> 2012 la produzione</w:t>
      </w:r>
      <w:r w:rsidR="002052B0">
        <w:rPr>
          <w:color w:val="000000"/>
        </w:rPr>
        <w:t xml:space="preserve"> regionale</w:t>
      </w:r>
      <w:r w:rsidR="00E268C8" w:rsidRPr="00EA1DC6">
        <w:rPr>
          <w:color w:val="000000"/>
        </w:rPr>
        <w:t xml:space="preserve"> di idrocarburi </w:t>
      </w:r>
      <w:r>
        <w:rPr>
          <w:color w:val="000000"/>
        </w:rPr>
        <w:t xml:space="preserve"> si è attestata su poco più di </w:t>
      </w:r>
      <w:r w:rsidR="00E268C8" w:rsidRPr="00EA1DC6">
        <w:rPr>
          <w:color w:val="000000"/>
        </w:rPr>
        <w:t>2</w:t>
      </w:r>
      <w:r>
        <w:rPr>
          <w:color w:val="000000"/>
        </w:rPr>
        <w:t xml:space="preserve"> </w:t>
      </w:r>
      <w:r w:rsidR="00A62831" w:rsidRPr="00EA1DC6">
        <w:rPr>
          <w:color w:val="000000"/>
        </w:rPr>
        <w:t>milioni di tonnellate di petrolio.</w:t>
      </w:r>
    </w:p>
    <w:p w:rsidR="000C1461" w:rsidRPr="00EA1DC6" w:rsidRDefault="000C1461" w:rsidP="00E268C8">
      <w:pPr>
        <w:jc w:val="both"/>
        <w:rPr>
          <w:b/>
          <w:color w:val="000000"/>
        </w:rPr>
      </w:pPr>
      <w:r w:rsidRPr="00EA1DC6">
        <w:rPr>
          <w:b/>
          <w:color w:val="000000"/>
        </w:rPr>
        <w:t xml:space="preserve">Tabella: Olio greggio estratto </w:t>
      </w:r>
      <w:r w:rsidR="00A62831" w:rsidRPr="00EA1DC6">
        <w:rPr>
          <w:b/>
          <w:color w:val="000000"/>
        </w:rPr>
        <w:t xml:space="preserve">in Basilicata </w:t>
      </w:r>
      <w:r w:rsidRPr="00EA1DC6">
        <w:rPr>
          <w:b/>
          <w:color w:val="000000"/>
        </w:rPr>
        <w:t>nel primo semestre 2012</w:t>
      </w:r>
    </w:p>
    <w:p w:rsidR="00E268C8" w:rsidRPr="00EA1DC6" w:rsidRDefault="00E268C8" w:rsidP="00E268C8">
      <w:pPr>
        <w:jc w:val="both"/>
        <w:rPr>
          <w:color w:val="000000"/>
          <w:sz w:val="10"/>
          <w:szCs w:val="10"/>
        </w:rPr>
      </w:pPr>
    </w:p>
    <w:tbl>
      <w:tblPr>
        <w:tblW w:w="10174" w:type="dxa"/>
        <w:jc w:val="center"/>
        <w:tblInd w:w="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377"/>
        <w:gridCol w:w="1216"/>
        <w:gridCol w:w="1216"/>
        <w:gridCol w:w="1216"/>
        <w:gridCol w:w="1216"/>
        <w:gridCol w:w="1216"/>
        <w:gridCol w:w="1216"/>
        <w:gridCol w:w="1501"/>
      </w:tblGrid>
      <w:tr w:rsidR="00E268C8" w:rsidRPr="00EA1DC6">
        <w:trPr>
          <w:trHeight w:val="390"/>
          <w:jc w:val="center"/>
        </w:trPr>
        <w:tc>
          <w:tcPr>
            <w:tcW w:w="1377" w:type="dxa"/>
            <w:shd w:val="clear" w:color="auto" w:fill="99CCFF"/>
          </w:tcPr>
          <w:p w:rsidR="00E268C8" w:rsidRPr="00EA1DC6" w:rsidRDefault="00E268C8" w:rsidP="0064183B">
            <w:pPr>
              <w:tabs>
                <w:tab w:val="left" w:pos="1380"/>
              </w:tabs>
              <w:ind w:left="128"/>
              <w:rPr>
                <w:b/>
              </w:rPr>
            </w:pPr>
          </w:p>
        </w:tc>
        <w:tc>
          <w:tcPr>
            <w:tcW w:w="1216" w:type="dxa"/>
            <w:shd w:val="clear" w:color="auto" w:fill="99CCFF"/>
            <w:vAlign w:val="center"/>
          </w:tcPr>
          <w:p w:rsidR="00E268C8" w:rsidRPr="00EA1DC6" w:rsidRDefault="00E268C8" w:rsidP="000C1461">
            <w:pPr>
              <w:tabs>
                <w:tab w:val="left" w:pos="1380"/>
              </w:tabs>
              <w:jc w:val="center"/>
              <w:rPr>
                <w:b/>
              </w:rPr>
            </w:pPr>
            <w:r w:rsidRPr="00EA1DC6">
              <w:rPr>
                <w:b/>
              </w:rPr>
              <w:t>Gennaio</w:t>
            </w:r>
            <w:r w:rsidR="000C1461" w:rsidRPr="00EA1DC6">
              <w:rPr>
                <w:b/>
              </w:rPr>
              <w:t xml:space="preserve"> (t)</w:t>
            </w:r>
          </w:p>
        </w:tc>
        <w:tc>
          <w:tcPr>
            <w:tcW w:w="1216" w:type="dxa"/>
            <w:shd w:val="clear" w:color="auto" w:fill="99CCFF"/>
            <w:vAlign w:val="center"/>
          </w:tcPr>
          <w:p w:rsidR="00E268C8" w:rsidRPr="00EA1DC6" w:rsidRDefault="00E268C8" w:rsidP="000C1461">
            <w:pPr>
              <w:tabs>
                <w:tab w:val="left" w:pos="1380"/>
              </w:tabs>
              <w:jc w:val="center"/>
              <w:rPr>
                <w:b/>
              </w:rPr>
            </w:pPr>
            <w:r w:rsidRPr="00EA1DC6">
              <w:rPr>
                <w:b/>
              </w:rPr>
              <w:t>Febbraio</w:t>
            </w:r>
          </w:p>
          <w:p w:rsidR="000C1461" w:rsidRPr="00EA1DC6" w:rsidRDefault="000C1461" w:rsidP="000C1461">
            <w:pPr>
              <w:tabs>
                <w:tab w:val="left" w:pos="1380"/>
              </w:tabs>
              <w:jc w:val="center"/>
              <w:rPr>
                <w:b/>
              </w:rPr>
            </w:pPr>
            <w:r w:rsidRPr="00EA1DC6">
              <w:rPr>
                <w:b/>
              </w:rPr>
              <w:t>(t)</w:t>
            </w:r>
          </w:p>
        </w:tc>
        <w:tc>
          <w:tcPr>
            <w:tcW w:w="1216" w:type="dxa"/>
            <w:shd w:val="clear" w:color="auto" w:fill="99CCFF"/>
            <w:vAlign w:val="center"/>
          </w:tcPr>
          <w:p w:rsidR="000C1461" w:rsidRPr="00EA1DC6" w:rsidRDefault="00E268C8" w:rsidP="000C1461">
            <w:pPr>
              <w:tabs>
                <w:tab w:val="left" w:pos="1380"/>
              </w:tabs>
              <w:jc w:val="center"/>
              <w:rPr>
                <w:b/>
              </w:rPr>
            </w:pPr>
            <w:r w:rsidRPr="00EA1DC6">
              <w:rPr>
                <w:b/>
              </w:rPr>
              <w:t>Marzo</w:t>
            </w:r>
          </w:p>
          <w:p w:rsidR="00E268C8" w:rsidRPr="00EA1DC6" w:rsidRDefault="000C1461" w:rsidP="000C1461">
            <w:pPr>
              <w:tabs>
                <w:tab w:val="left" w:pos="1380"/>
              </w:tabs>
              <w:jc w:val="center"/>
              <w:rPr>
                <w:b/>
              </w:rPr>
            </w:pPr>
            <w:r w:rsidRPr="00EA1DC6">
              <w:rPr>
                <w:b/>
              </w:rPr>
              <w:t>(t)</w:t>
            </w:r>
          </w:p>
        </w:tc>
        <w:tc>
          <w:tcPr>
            <w:tcW w:w="1216" w:type="dxa"/>
            <w:shd w:val="clear" w:color="auto" w:fill="99CCFF"/>
            <w:vAlign w:val="center"/>
          </w:tcPr>
          <w:p w:rsidR="000C1461" w:rsidRPr="00EA1DC6" w:rsidRDefault="00E268C8" w:rsidP="000C1461">
            <w:pPr>
              <w:tabs>
                <w:tab w:val="left" w:pos="1380"/>
              </w:tabs>
              <w:jc w:val="center"/>
              <w:rPr>
                <w:b/>
              </w:rPr>
            </w:pPr>
            <w:r w:rsidRPr="00EA1DC6">
              <w:rPr>
                <w:b/>
              </w:rPr>
              <w:t>Aprile</w:t>
            </w:r>
          </w:p>
          <w:p w:rsidR="00E268C8" w:rsidRPr="00EA1DC6" w:rsidRDefault="000C1461" w:rsidP="000C1461">
            <w:pPr>
              <w:tabs>
                <w:tab w:val="left" w:pos="1380"/>
              </w:tabs>
              <w:jc w:val="center"/>
              <w:rPr>
                <w:b/>
              </w:rPr>
            </w:pPr>
            <w:r w:rsidRPr="00EA1DC6">
              <w:rPr>
                <w:b/>
              </w:rPr>
              <w:t>(t)</w:t>
            </w:r>
          </w:p>
        </w:tc>
        <w:tc>
          <w:tcPr>
            <w:tcW w:w="1216" w:type="dxa"/>
            <w:shd w:val="clear" w:color="auto" w:fill="99CCFF"/>
            <w:vAlign w:val="center"/>
          </w:tcPr>
          <w:p w:rsidR="00E268C8" w:rsidRPr="00EA1DC6" w:rsidRDefault="00E268C8" w:rsidP="000C1461">
            <w:pPr>
              <w:tabs>
                <w:tab w:val="left" w:pos="1380"/>
              </w:tabs>
              <w:jc w:val="center"/>
              <w:rPr>
                <w:b/>
              </w:rPr>
            </w:pPr>
            <w:r w:rsidRPr="00EA1DC6">
              <w:rPr>
                <w:b/>
              </w:rPr>
              <w:t>Maggio</w:t>
            </w:r>
            <w:r w:rsidR="000C1461" w:rsidRPr="00EA1DC6">
              <w:rPr>
                <w:b/>
              </w:rPr>
              <w:t xml:space="preserve"> (t)</w:t>
            </w:r>
          </w:p>
        </w:tc>
        <w:tc>
          <w:tcPr>
            <w:tcW w:w="1216" w:type="dxa"/>
            <w:shd w:val="clear" w:color="auto" w:fill="99CCFF"/>
            <w:vAlign w:val="center"/>
          </w:tcPr>
          <w:p w:rsidR="00E268C8" w:rsidRPr="00EA1DC6" w:rsidRDefault="00E268C8" w:rsidP="000C1461">
            <w:pPr>
              <w:tabs>
                <w:tab w:val="left" w:pos="1380"/>
              </w:tabs>
              <w:jc w:val="center"/>
              <w:rPr>
                <w:b/>
              </w:rPr>
            </w:pPr>
            <w:r w:rsidRPr="00EA1DC6">
              <w:rPr>
                <w:b/>
              </w:rPr>
              <w:t>Giugno</w:t>
            </w:r>
            <w:r w:rsidR="000C1461" w:rsidRPr="00EA1DC6">
              <w:rPr>
                <w:b/>
              </w:rPr>
              <w:t xml:space="preserve"> (t)</w:t>
            </w:r>
          </w:p>
        </w:tc>
        <w:tc>
          <w:tcPr>
            <w:tcW w:w="1501" w:type="dxa"/>
            <w:shd w:val="clear" w:color="auto" w:fill="99CCFF"/>
            <w:vAlign w:val="center"/>
          </w:tcPr>
          <w:p w:rsidR="000C1461" w:rsidRPr="00EA1DC6" w:rsidRDefault="00E268C8" w:rsidP="000C1461">
            <w:pPr>
              <w:tabs>
                <w:tab w:val="left" w:pos="1380"/>
              </w:tabs>
              <w:jc w:val="center"/>
              <w:rPr>
                <w:b/>
              </w:rPr>
            </w:pPr>
            <w:r w:rsidRPr="00EA1DC6">
              <w:rPr>
                <w:b/>
              </w:rPr>
              <w:t xml:space="preserve">Totale </w:t>
            </w:r>
          </w:p>
          <w:p w:rsidR="00E268C8" w:rsidRPr="00EA1DC6" w:rsidRDefault="000C1461" w:rsidP="000C1461">
            <w:pPr>
              <w:tabs>
                <w:tab w:val="left" w:pos="1380"/>
              </w:tabs>
              <w:jc w:val="center"/>
              <w:rPr>
                <w:b/>
              </w:rPr>
            </w:pPr>
            <w:r w:rsidRPr="00EA1DC6">
              <w:rPr>
                <w:b/>
              </w:rPr>
              <w:t>(t</w:t>
            </w:r>
            <w:r w:rsidR="00E268C8" w:rsidRPr="00EA1DC6">
              <w:rPr>
                <w:b/>
              </w:rPr>
              <w:t>)</w:t>
            </w:r>
          </w:p>
        </w:tc>
      </w:tr>
      <w:tr w:rsidR="00E268C8" w:rsidRPr="00EA1DC6">
        <w:trPr>
          <w:jc w:val="center"/>
        </w:trPr>
        <w:tc>
          <w:tcPr>
            <w:tcW w:w="1377" w:type="dxa"/>
            <w:shd w:val="clear" w:color="auto" w:fill="auto"/>
          </w:tcPr>
          <w:p w:rsidR="00E268C8" w:rsidRPr="00EA1DC6" w:rsidRDefault="00E268C8" w:rsidP="0064183B">
            <w:pPr>
              <w:tabs>
                <w:tab w:val="left" w:pos="1380"/>
              </w:tabs>
              <w:jc w:val="center"/>
              <w:rPr>
                <w:sz w:val="20"/>
                <w:szCs w:val="20"/>
              </w:rPr>
            </w:pPr>
            <w:r w:rsidRPr="00EA1DC6">
              <w:rPr>
                <w:sz w:val="20"/>
                <w:szCs w:val="20"/>
              </w:rPr>
              <w:t>Gorgoglione</w:t>
            </w:r>
          </w:p>
        </w:tc>
        <w:tc>
          <w:tcPr>
            <w:tcW w:w="1216" w:type="dxa"/>
            <w:shd w:val="clear" w:color="auto" w:fill="auto"/>
          </w:tcPr>
          <w:p w:rsidR="00E268C8" w:rsidRPr="00EA1DC6" w:rsidRDefault="00E268C8" w:rsidP="0064183B">
            <w:pPr>
              <w:tabs>
                <w:tab w:val="left" w:pos="1380"/>
              </w:tabs>
              <w:jc w:val="center"/>
              <w:rPr>
                <w:sz w:val="20"/>
                <w:szCs w:val="20"/>
              </w:rPr>
            </w:pPr>
            <w:r w:rsidRPr="00EA1DC6">
              <w:rPr>
                <w:sz w:val="20"/>
                <w:szCs w:val="20"/>
              </w:rPr>
              <w:t>0</w:t>
            </w:r>
          </w:p>
        </w:tc>
        <w:tc>
          <w:tcPr>
            <w:tcW w:w="1216" w:type="dxa"/>
            <w:shd w:val="clear" w:color="auto" w:fill="auto"/>
          </w:tcPr>
          <w:p w:rsidR="00E268C8" w:rsidRPr="00EA1DC6" w:rsidRDefault="00E268C8" w:rsidP="0064183B">
            <w:pPr>
              <w:tabs>
                <w:tab w:val="left" w:pos="1380"/>
              </w:tabs>
              <w:jc w:val="center"/>
              <w:rPr>
                <w:sz w:val="20"/>
                <w:szCs w:val="20"/>
              </w:rPr>
            </w:pPr>
            <w:r w:rsidRPr="00EA1DC6">
              <w:rPr>
                <w:sz w:val="20"/>
                <w:szCs w:val="20"/>
              </w:rPr>
              <w:t>0</w:t>
            </w:r>
          </w:p>
        </w:tc>
        <w:tc>
          <w:tcPr>
            <w:tcW w:w="1216" w:type="dxa"/>
            <w:shd w:val="clear" w:color="auto" w:fill="auto"/>
          </w:tcPr>
          <w:p w:rsidR="00E268C8" w:rsidRPr="00EA1DC6" w:rsidRDefault="00E268C8" w:rsidP="0064183B">
            <w:pPr>
              <w:tabs>
                <w:tab w:val="left" w:pos="1380"/>
              </w:tabs>
              <w:jc w:val="center"/>
              <w:rPr>
                <w:sz w:val="20"/>
                <w:szCs w:val="20"/>
              </w:rPr>
            </w:pPr>
            <w:r w:rsidRPr="00EA1DC6">
              <w:rPr>
                <w:sz w:val="20"/>
                <w:szCs w:val="20"/>
              </w:rPr>
              <w:t>0</w:t>
            </w:r>
          </w:p>
        </w:tc>
        <w:tc>
          <w:tcPr>
            <w:tcW w:w="1216" w:type="dxa"/>
            <w:shd w:val="clear" w:color="auto" w:fill="auto"/>
          </w:tcPr>
          <w:p w:rsidR="00E268C8" w:rsidRPr="00EA1DC6" w:rsidRDefault="000C1461" w:rsidP="000C1461">
            <w:pPr>
              <w:tabs>
                <w:tab w:val="left" w:pos="1380"/>
              </w:tabs>
              <w:jc w:val="center"/>
              <w:rPr>
                <w:sz w:val="20"/>
                <w:szCs w:val="20"/>
              </w:rPr>
            </w:pPr>
            <w:r w:rsidRPr="00EA1DC6">
              <w:rPr>
                <w:sz w:val="20"/>
                <w:szCs w:val="20"/>
              </w:rPr>
              <w:t>2.504</w:t>
            </w:r>
          </w:p>
        </w:tc>
        <w:tc>
          <w:tcPr>
            <w:tcW w:w="1216" w:type="dxa"/>
            <w:shd w:val="clear" w:color="auto" w:fill="auto"/>
          </w:tcPr>
          <w:p w:rsidR="00E268C8" w:rsidRPr="00EA1DC6" w:rsidRDefault="00E268C8" w:rsidP="0064183B">
            <w:pPr>
              <w:tabs>
                <w:tab w:val="left" w:pos="1380"/>
              </w:tabs>
              <w:jc w:val="center"/>
              <w:rPr>
                <w:sz w:val="20"/>
                <w:szCs w:val="20"/>
              </w:rPr>
            </w:pPr>
            <w:r w:rsidRPr="00EA1DC6">
              <w:rPr>
                <w:sz w:val="20"/>
                <w:szCs w:val="20"/>
              </w:rPr>
              <w:t>0</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6.175</w:t>
            </w:r>
          </w:p>
        </w:tc>
        <w:tc>
          <w:tcPr>
            <w:tcW w:w="1501" w:type="dxa"/>
            <w:shd w:val="clear" w:color="auto" w:fill="auto"/>
          </w:tcPr>
          <w:p w:rsidR="00E268C8" w:rsidRPr="00EA1DC6" w:rsidRDefault="000C1461" w:rsidP="000C1461">
            <w:pPr>
              <w:tabs>
                <w:tab w:val="left" w:pos="1380"/>
              </w:tabs>
              <w:jc w:val="center"/>
              <w:rPr>
                <w:sz w:val="20"/>
                <w:szCs w:val="20"/>
              </w:rPr>
            </w:pPr>
            <w:r w:rsidRPr="00EA1DC6">
              <w:rPr>
                <w:sz w:val="20"/>
                <w:szCs w:val="20"/>
              </w:rPr>
              <w:t>8.680</w:t>
            </w:r>
          </w:p>
        </w:tc>
      </w:tr>
      <w:tr w:rsidR="00E268C8" w:rsidRPr="00EA1DC6">
        <w:trPr>
          <w:jc w:val="center"/>
        </w:trPr>
        <w:tc>
          <w:tcPr>
            <w:tcW w:w="1377" w:type="dxa"/>
            <w:shd w:val="clear" w:color="auto" w:fill="auto"/>
          </w:tcPr>
          <w:p w:rsidR="00E268C8" w:rsidRPr="00EA1DC6" w:rsidRDefault="00E268C8" w:rsidP="0064183B">
            <w:pPr>
              <w:tabs>
                <w:tab w:val="left" w:pos="1380"/>
              </w:tabs>
              <w:jc w:val="center"/>
              <w:rPr>
                <w:sz w:val="20"/>
                <w:szCs w:val="20"/>
              </w:rPr>
            </w:pPr>
            <w:r w:rsidRPr="00EA1DC6">
              <w:rPr>
                <w:sz w:val="20"/>
                <w:szCs w:val="20"/>
              </w:rPr>
              <w:t>Serra Pizzuta</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1.259</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1.088</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1.441</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1.213</w:t>
            </w:r>
          </w:p>
        </w:tc>
        <w:tc>
          <w:tcPr>
            <w:tcW w:w="1216" w:type="dxa"/>
            <w:shd w:val="clear" w:color="auto" w:fill="auto"/>
          </w:tcPr>
          <w:p w:rsidR="00E268C8" w:rsidRPr="00EA1DC6" w:rsidRDefault="000C1461" w:rsidP="000C1461">
            <w:pPr>
              <w:tabs>
                <w:tab w:val="left" w:pos="1380"/>
              </w:tabs>
              <w:jc w:val="center"/>
              <w:rPr>
                <w:sz w:val="20"/>
                <w:szCs w:val="20"/>
              </w:rPr>
            </w:pPr>
            <w:r w:rsidRPr="00EA1DC6">
              <w:rPr>
                <w:sz w:val="20"/>
                <w:szCs w:val="20"/>
              </w:rPr>
              <w:t>1.195</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1.229</w:t>
            </w:r>
          </w:p>
        </w:tc>
        <w:tc>
          <w:tcPr>
            <w:tcW w:w="1501" w:type="dxa"/>
            <w:shd w:val="clear" w:color="auto" w:fill="auto"/>
          </w:tcPr>
          <w:p w:rsidR="00E268C8" w:rsidRPr="00EA1DC6" w:rsidRDefault="00E268C8" w:rsidP="000C1461">
            <w:pPr>
              <w:tabs>
                <w:tab w:val="left" w:pos="1380"/>
              </w:tabs>
              <w:jc w:val="center"/>
              <w:rPr>
                <w:sz w:val="20"/>
                <w:szCs w:val="20"/>
              </w:rPr>
            </w:pPr>
            <w:r w:rsidRPr="00EA1DC6">
              <w:rPr>
                <w:sz w:val="20"/>
                <w:szCs w:val="20"/>
              </w:rPr>
              <w:t>7.42</w:t>
            </w:r>
            <w:r w:rsidR="000C1461" w:rsidRPr="00EA1DC6">
              <w:rPr>
                <w:sz w:val="20"/>
                <w:szCs w:val="20"/>
              </w:rPr>
              <w:t>6</w:t>
            </w:r>
          </w:p>
        </w:tc>
      </w:tr>
      <w:tr w:rsidR="00E268C8" w:rsidRPr="00EA1DC6">
        <w:trPr>
          <w:jc w:val="center"/>
        </w:trPr>
        <w:tc>
          <w:tcPr>
            <w:tcW w:w="1377" w:type="dxa"/>
            <w:shd w:val="clear" w:color="auto" w:fill="auto"/>
          </w:tcPr>
          <w:p w:rsidR="00E268C8" w:rsidRPr="00EA1DC6" w:rsidRDefault="00E268C8" w:rsidP="0064183B">
            <w:pPr>
              <w:tabs>
                <w:tab w:val="left" w:pos="1380"/>
              </w:tabs>
              <w:jc w:val="center"/>
              <w:rPr>
                <w:sz w:val="20"/>
                <w:szCs w:val="20"/>
              </w:rPr>
            </w:pPr>
            <w:r w:rsidRPr="00EA1DC6">
              <w:rPr>
                <w:sz w:val="20"/>
                <w:szCs w:val="20"/>
              </w:rPr>
              <w:t>Val d’agri</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350.79</w:t>
            </w:r>
            <w:r w:rsidR="000C1461" w:rsidRPr="00EA1DC6">
              <w:rPr>
                <w:sz w:val="20"/>
                <w:szCs w:val="20"/>
              </w:rPr>
              <w:t>6</w:t>
            </w:r>
          </w:p>
        </w:tc>
        <w:tc>
          <w:tcPr>
            <w:tcW w:w="1216" w:type="dxa"/>
            <w:shd w:val="clear" w:color="auto" w:fill="auto"/>
          </w:tcPr>
          <w:p w:rsidR="00E268C8" w:rsidRPr="00EA1DC6" w:rsidRDefault="000C1461" w:rsidP="000C1461">
            <w:pPr>
              <w:tabs>
                <w:tab w:val="left" w:pos="1380"/>
              </w:tabs>
              <w:jc w:val="center"/>
              <w:rPr>
                <w:sz w:val="20"/>
                <w:szCs w:val="20"/>
              </w:rPr>
            </w:pPr>
            <w:r w:rsidRPr="00EA1DC6">
              <w:rPr>
                <w:sz w:val="20"/>
                <w:szCs w:val="20"/>
              </w:rPr>
              <w:t>338.805</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359.0</w:t>
            </w:r>
            <w:r w:rsidR="000C1461" w:rsidRPr="00EA1DC6">
              <w:rPr>
                <w:sz w:val="20"/>
                <w:szCs w:val="20"/>
              </w:rPr>
              <w:t>80</w:t>
            </w:r>
          </w:p>
        </w:tc>
        <w:tc>
          <w:tcPr>
            <w:tcW w:w="1216" w:type="dxa"/>
            <w:shd w:val="clear" w:color="auto" w:fill="auto"/>
          </w:tcPr>
          <w:p w:rsidR="00E268C8" w:rsidRPr="00EA1DC6" w:rsidRDefault="000C1461" w:rsidP="000C1461">
            <w:pPr>
              <w:tabs>
                <w:tab w:val="left" w:pos="1380"/>
              </w:tabs>
              <w:jc w:val="center"/>
              <w:rPr>
                <w:sz w:val="20"/>
                <w:szCs w:val="20"/>
              </w:rPr>
            </w:pPr>
            <w:r w:rsidRPr="00EA1DC6">
              <w:rPr>
                <w:sz w:val="20"/>
                <w:szCs w:val="20"/>
              </w:rPr>
              <w:t>342.274</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311.7</w:t>
            </w:r>
            <w:r w:rsidR="000C1461" w:rsidRPr="00EA1DC6">
              <w:rPr>
                <w:sz w:val="20"/>
                <w:szCs w:val="20"/>
              </w:rPr>
              <w:t>60</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334.665</w:t>
            </w:r>
          </w:p>
        </w:tc>
        <w:tc>
          <w:tcPr>
            <w:tcW w:w="1501" w:type="dxa"/>
            <w:shd w:val="clear" w:color="auto" w:fill="auto"/>
          </w:tcPr>
          <w:p w:rsidR="00E268C8" w:rsidRPr="00EA1DC6" w:rsidRDefault="00E268C8" w:rsidP="000C1461">
            <w:pPr>
              <w:tabs>
                <w:tab w:val="left" w:pos="1380"/>
              </w:tabs>
              <w:jc w:val="center"/>
              <w:rPr>
                <w:sz w:val="20"/>
                <w:szCs w:val="20"/>
              </w:rPr>
            </w:pPr>
            <w:r w:rsidRPr="00EA1DC6">
              <w:rPr>
                <w:sz w:val="20"/>
                <w:szCs w:val="20"/>
              </w:rPr>
              <w:t>2.037.379</w:t>
            </w:r>
          </w:p>
        </w:tc>
      </w:tr>
      <w:tr w:rsidR="00E268C8" w:rsidRPr="0064183B">
        <w:trPr>
          <w:jc w:val="center"/>
        </w:trPr>
        <w:tc>
          <w:tcPr>
            <w:tcW w:w="1377" w:type="dxa"/>
            <w:shd w:val="clear" w:color="auto" w:fill="auto"/>
          </w:tcPr>
          <w:p w:rsidR="00E268C8" w:rsidRPr="00EA1DC6" w:rsidRDefault="00E268C8" w:rsidP="0064183B">
            <w:pPr>
              <w:tabs>
                <w:tab w:val="left" w:pos="1380"/>
              </w:tabs>
              <w:jc w:val="center"/>
              <w:rPr>
                <w:sz w:val="20"/>
                <w:szCs w:val="20"/>
              </w:rPr>
            </w:pPr>
            <w:r w:rsidRPr="00EA1DC6">
              <w:rPr>
                <w:sz w:val="20"/>
                <w:szCs w:val="20"/>
              </w:rPr>
              <w:t>Totale</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352.055</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339.893</w:t>
            </w:r>
          </w:p>
        </w:tc>
        <w:tc>
          <w:tcPr>
            <w:tcW w:w="1216" w:type="dxa"/>
            <w:shd w:val="clear" w:color="auto" w:fill="auto"/>
          </w:tcPr>
          <w:p w:rsidR="00E268C8" w:rsidRPr="00EA1DC6" w:rsidRDefault="000C1461" w:rsidP="000C1461">
            <w:pPr>
              <w:tabs>
                <w:tab w:val="left" w:pos="1380"/>
              </w:tabs>
              <w:jc w:val="center"/>
              <w:rPr>
                <w:sz w:val="20"/>
                <w:szCs w:val="20"/>
              </w:rPr>
            </w:pPr>
            <w:r w:rsidRPr="00EA1DC6">
              <w:rPr>
                <w:sz w:val="20"/>
                <w:szCs w:val="20"/>
              </w:rPr>
              <w:t>360.521</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345.991</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312.95</w:t>
            </w:r>
            <w:r w:rsidR="000C1461" w:rsidRPr="00EA1DC6">
              <w:rPr>
                <w:sz w:val="20"/>
                <w:szCs w:val="20"/>
              </w:rPr>
              <w:t>5</w:t>
            </w:r>
          </w:p>
        </w:tc>
        <w:tc>
          <w:tcPr>
            <w:tcW w:w="1216" w:type="dxa"/>
            <w:shd w:val="clear" w:color="auto" w:fill="auto"/>
          </w:tcPr>
          <w:p w:rsidR="00E268C8" w:rsidRPr="00EA1DC6" w:rsidRDefault="00E268C8" w:rsidP="000C1461">
            <w:pPr>
              <w:tabs>
                <w:tab w:val="left" w:pos="1380"/>
              </w:tabs>
              <w:jc w:val="center"/>
              <w:rPr>
                <w:sz w:val="20"/>
                <w:szCs w:val="20"/>
              </w:rPr>
            </w:pPr>
            <w:r w:rsidRPr="00EA1DC6">
              <w:rPr>
                <w:sz w:val="20"/>
                <w:szCs w:val="20"/>
              </w:rPr>
              <w:t>342.0</w:t>
            </w:r>
            <w:r w:rsidR="000C1461" w:rsidRPr="00EA1DC6">
              <w:rPr>
                <w:sz w:val="20"/>
                <w:szCs w:val="20"/>
              </w:rPr>
              <w:t>70</w:t>
            </w:r>
          </w:p>
        </w:tc>
        <w:tc>
          <w:tcPr>
            <w:tcW w:w="1501" w:type="dxa"/>
            <w:shd w:val="clear" w:color="auto" w:fill="auto"/>
          </w:tcPr>
          <w:p w:rsidR="00E268C8" w:rsidRPr="0064183B" w:rsidRDefault="00E268C8" w:rsidP="000C1461">
            <w:pPr>
              <w:tabs>
                <w:tab w:val="left" w:pos="1380"/>
              </w:tabs>
              <w:jc w:val="center"/>
              <w:rPr>
                <w:b/>
                <w:sz w:val="20"/>
                <w:szCs w:val="20"/>
              </w:rPr>
            </w:pPr>
            <w:r w:rsidRPr="00EA1DC6">
              <w:rPr>
                <w:b/>
                <w:sz w:val="20"/>
                <w:szCs w:val="20"/>
              </w:rPr>
              <w:t>2.053.485</w:t>
            </w:r>
          </w:p>
        </w:tc>
      </w:tr>
    </w:tbl>
    <w:p w:rsidR="000C1461" w:rsidRPr="000C1461" w:rsidRDefault="000C1461" w:rsidP="000C1461">
      <w:pPr>
        <w:jc w:val="both"/>
        <w:rPr>
          <w:i/>
          <w:sz w:val="10"/>
          <w:szCs w:val="10"/>
        </w:rPr>
      </w:pPr>
    </w:p>
    <w:p w:rsidR="000C1461" w:rsidRPr="000C1461" w:rsidRDefault="000C1461" w:rsidP="000C1461">
      <w:pPr>
        <w:jc w:val="both"/>
        <w:rPr>
          <w:i/>
        </w:rPr>
      </w:pPr>
      <w:r w:rsidRPr="000C1461">
        <w:rPr>
          <w:i/>
        </w:rPr>
        <w:t>Fonte: elaborazione Legambiente su dati del Ministero dello sviluppo economico</w:t>
      </w:r>
    </w:p>
    <w:p w:rsidR="00656B2E" w:rsidRDefault="00656B2E" w:rsidP="00CA654C">
      <w:pPr>
        <w:spacing w:after="120"/>
        <w:jc w:val="both"/>
      </w:pPr>
    </w:p>
    <w:p w:rsidR="00E268C8" w:rsidRDefault="00E268C8" w:rsidP="00CA654C">
      <w:pPr>
        <w:spacing w:after="120"/>
        <w:jc w:val="both"/>
      </w:pPr>
      <w:r w:rsidRPr="00412D4F">
        <w:t>I pozzi</w:t>
      </w:r>
      <w:r>
        <w:t xml:space="preserve"> di estrazione idrocarburi</w:t>
      </w:r>
      <w:r w:rsidRPr="00412D4F">
        <w:t xml:space="preserve"> attivi in Basilicata </w:t>
      </w:r>
      <w:r>
        <w:t xml:space="preserve">sono in tutto 126 di cui </w:t>
      </w:r>
      <w:smartTag w:uri="urn:schemas-microsoft-com:office:smarttags" w:element="metricconverter">
        <w:smartTagPr>
          <w:attr w:name="ProductID" w:val="43 in"/>
        </w:smartTagPr>
        <w:r>
          <w:t>43 in</w:t>
        </w:r>
      </w:smartTag>
      <w:r>
        <w:t xml:space="preserve"> provincia di Potenza e </w:t>
      </w:r>
      <w:smartTag w:uri="urn:schemas-microsoft-com:office:smarttags" w:element="metricconverter">
        <w:smartTagPr>
          <w:attr w:name="ProductID" w:val="83 in"/>
        </w:smartTagPr>
        <w:r>
          <w:t>83 in</w:t>
        </w:r>
      </w:smartTag>
      <w:r w:rsidR="009F0C2F">
        <w:t xml:space="preserve"> provincia di Matera. In V</w:t>
      </w:r>
      <w:r w:rsidR="0067772F">
        <w:t xml:space="preserve">al d’Agri ci sono </w:t>
      </w:r>
      <w:r>
        <w:t>37</w:t>
      </w:r>
      <w:r w:rsidR="0067772F">
        <w:t xml:space="preserve"> pozzi per l’estrazione di petrolio</w:t>
      </w:r>
      <w:r w:rsidR="00A62831">
        <w:t xml:space="preserve">, di cui </w:t>
      </w:r>
      <w:smartTag w:uri="urn:schemas-microsoft-com:office:smarttags" w:element="metricconverter">
        <w:smartTagPr>
          <w:attr w:name="ProductID" w:val="24 in"/>
        </w:smartTagPr>
        <w:r w:rsidR="00A62831">
          <w:t>24 in</w:t>
        </w:r>
      </w:smartTag>
      <w:r w:rsidR="00A62831">
        <w:t xml:space="preserve"> produzione,</w:t>
      </w:r>
      <w:r>
        <w:t xml:space="preserve"> </w:t>
      </w:r>
      <w:r w:rsidR="0067772F">
        <w:t>e</w:t>
      </w:r>
      <w:r>
        <w:t xml:space="preserve"> 1 pozzo</w:t>
      </w:r>
      <w:r w:rsidR="0067772F">
        <w:t>,</w:t>
      </w:r>
      <w:r>
        <w:t xml:space="preserve"> quello di Costa</w:t>
      </w:r>
      <w:r w:rsidR="004129D7">
        <w:t xml:space="preserve"> M</w:t>
      </w:r>
      <w:r>
        <w:t>olina 002</w:t>
      </w:r>
      <w:r w:rsidR="0067772F">
        <w:t>,</w:t>
      </w:r>
      <w:r>
        <w:t xml:space="preserve"> destinato a rein</w:t>
      </w:r>
      <w:r w:rsidR="000C1461">
        <w:t>i</w:t>
      </w:r>
      <w:r>
        <w:t>ezione fluidi. La concessione Gorgoglione vede al momento attivi 5 pozzi tutti produttivi. Per quanto riguarda la concessione di Serra Pizzuta i pozzi attivi sono in tutto 30 di cui 21 sono produttivi o potenzialmente produttivi, 6 sono identificati come potenzialmente utilizzabili per lo stoccaggio, 2 sono identificati come altro utilizzo, 1, il pozzo denominato Pisticci 009, è identificato come pozzo di rein</w:t>
      </w:r>
      <w:r w:rsidR="00D32355">
        <w:t>i</w:t>
      </w:r>
      <w:r>
        <w:t>ezione fluidi. So</w:t>
      </w:r>
      <w:r w:rsidR="002552F4">
        <w:t>no inoltre</w:t>
      </w:r>
      <w:r>
        <w:t xml:space="preserve"> pronti per partire </w:t>
      </w:r>
      <w:r w:rsidRPr="006510ED">
        <w:t>i lavori per la quinta linea del Centro Olio</w:t>
      </w:r>
      <w:r w:rsidR="009660C4">
        <w:t xml:space="preserve"> della Val d’Agri che d</w:t>
      </w:r>
      <w:r w:rsidRPr="006510ED">
        <w:t>ureranno dai 20 ai 24 mesi, con un investimento di 250 milioni</w:t>
      </w:r>
      <w:r>
        <w:t xml:space="preserve"> di euro.</w:t>
      </w:r>
    </w:p>
    <w:p w:rsidR="00D32355" w:rsidRDefault="00D32355" w:rsidP="00CA654C">
      <w:pPr>
        <w:tabs>
          <w:tab w:val="left" w:pos="1380"/>
        </w:tabs>
        <w:spacing w:after="120"/>
        <w:jc w:val="both"/>
        <w:rPr>
          <w:color w:val="000000"/>
        </w:rPr>
      </w:pPr>
      <w:r w:rsidRPr="00D32355">
        <w:lastRenderedPageBreak/>
        <w:t>Alle attività già in atto si devono aggiungere poi i permessi di ricerca rilasciati e le richies</w:t>
      </w:r>
      <w:r w:rsidR="00C81547">
        <w:t>te avanzate dalle compagnie pet</w:t>
      </w:r>
      <w:r w:rsidRPr="00D32355">
        <w:t>r</w:t>
      </w:r>
      <w:r w:rsidR="00C81547">
        <w:t>o</w:t>
      </w:r>
      <w:r w:rsidRPr="00D32355">
        <w:t xml:space="preserve">lifere per esplorare nuove aree alla ricerca di altri giacimenti. </w:t>
      </w:r>
      <w:r w:rsidRPr="00D32355">
        <w:rPr>
          <w:color w:val="000000"/>
        </w:rPr>
        <w:t>Al 31 Dicembre 201</w:t>
      </w:r>
      <w:r w:rsidR="002052B0">
        <w:rPr>
          <w:color w:val="000000"/>
        </w:rPr>
        <w:t>2</w:t>
      </w:r>
      <w:r w:rsidRPr="00D32355">
        <w:rPr>
          <w:color w:val="000000"/>
        </w:rPr>
        <w:t xml:space="preserve"> </w:t>
      </w:r>
      <w:r>
        <w:rPr>
          <w:color w:val="000000"/>
        </w:rPr>
        <w:t xml:space="preserve">in Basilicata </w:t>
      </w:r>
      <w:r w:rsidR="009660C4">
        <w:rPr>
          <w:color w:val="000000"/>
        </w:rPr>
        <w:t xml:space="preserve">erano </w:t>
      </w:r>
      <w:r w:rsidRPr="00D32355">
        <w:rPr>
          <w:color w:val="000000"/>
        </w:rPr>
        <w:t>presenti 11</w:t>
      </w:r>
      <w:r>
        <w:rPr>
          <w:color w:val="000000"/>
        </w:rPr>
        <w:t xml:space="preserve"> permessi di ricerca </w:t>
      </w:r>
      <w:r w:rsidR="009660C4">
        <w:rPr>
          <w:color w:val="000000"/>
        </w:rPr>
        <w:t xml:space="preserve">per </w:t>
      </w:r>
      <w:r w:rsidRPr="00D32355">
        <w:rPr>
          <w:color w:val="000000"/>
        </w:rPr>
        <w:t xml:space="preserve"> un totale di </w:t>
      </w:r>
      <w:r w:rsidRPr="00D32355">
        <w:rPr>
          <w:color w:val="000000"/>
        </w:rPr>
        <w:fldChar w:fldCharType="begin"/>
      </w:r>
      <w:r w:rsidRPr="00D32355">
        <w:rPr>
          <w:color w:val="000000"/>
        </w:rPr>
        <w:instrText xml:space="preserve"> =SUM(ABOVE) </w:instrText>
      </w:r>
      <w:r w:rsidRPr="00D32355">
        <w:rPr>
          <w:color w:val="000000"/>
        </w:rPr>
        <w:fldChar w:fldCharType="separate"/>
      </w:r>
      <w:r w:rsidRPr="00D32355">
        <w:rPr>
          <w:color w:val="000000"/>
        </w:rPr>
        <w:t>1453,83</w:t>
      </w:r>
      <w:r w:rsidRPr="00D32355">
        <w:rPr>
          <w:color w:val="000000"/>
        </w:rPr>
        <w:fldChar w:fldCharType="end"/>
      </w:r>
      <w:r w:rsidR="00CA654C">
        <w:rPr>
          <w:color w:val="000000"/>
        </w:rPr>
        <w:t xml:space="preserve"> kmq.</w:t>
      </w:r>
    </w:p>
    <w:p w:rsidR="00D32355" w:rsidRPr="00D32355" w:rsidRDefault="00D32355" w:rsidP="00D32355">
      <w:pPr>
        <w:tabs>
          <w:tab w:val="left" w:pos="1380"/>
        </w:tabs>
        <w:jc w:val="both"/>
        <w:rPr>
          <w:color w:val="000000"/>
          <w:sz w:val="10"/>
          <w:szCs w:val="10"/>
        </w:rPr>
      </w:pPr>
    </w:p>
    <w:p w:rsidR="00E268C8" w:rsidRPr="00412D4F" w:rsidRDefault="00D32355" w:rsidP="00D32355">
      <w:pPr>
        <w:tabs>
          <w:tab w:val="left" w:pos="1380"/>
        </w:tabs>
        <w:jc w:val="both"/>
      </w:pPr>
      <w:r>
        <w:rPr>
          <w:b/>
        </w:rPr>
        <w:t>Tabella: P</w:t>
      </w:r>
      <w:r w:rsidR="00E268C8">
        <w:rPr>
          <w:b/>
        </w:rPr>
        <w:t>ermessi di ricerca</w:t>
      </w:r>
      <w:r>
        <w:rPr>
          <w:b/>
        </w:rPr>
        <w:t xml:space="preserve"> per idrocarburi in Basilicata</w:t>
      </w:r>
    </w:p>
    <w:tbl>
      <w:tblPr>
        <w:tblW w:w="4825" w:type="pct"/>
        <w:jc w:val="center"/>
        <w:tblCellMar>
          <w:left w:w="70" w:type="dxa"/>
          <w:right w:w="70" w:type="dxa"/>
        </w:tblCellMar>
        <w:tblLook w:val="0000"/>
      </w:tblPr>
      <w:tblGrid>
        <w:gridCol w:w="473"/>
        <w:gridCol w:w="1978"/>
        <w:gridCol w:w="2114"/>
        <w:gridCol w:w="864"/>
        <w:gridCol w:w="4007"/>
      </w:tblGrid>
      <w:tr w:rsidR="00E268C8" w:rsidRPr="00D32355">
        <w:trPr>
          <w:trHeight w:val="284"/>
          <w:jc w:val="center"/>
        </w:trPr>
        <w:tc>
          <w:tcPr>
            <w:tcW w:w="251" w:type="pct"/>
            <w:tcBorders>
              <w:top w:val="single" w:sz="4" w:space="0" w:color="000000"/>
              <w:left w:val="single" w:sz="4" w:space="0" w:color="000000"/>
              <w:bottom w:val="single" w:sz="4" w:space="0" w:color="000000"/>
              <w:right w:val="single" w:sz="4" w:space="0" w:color="000000"/>
            </w:tcBorders>
            <w:shd w:val="clear" w:color="auto" w:fill="99CCFF"/>
          </w:tcPr>
          <w:p w:rsidR="00E268C8" w:rsidRPr="00D32355" w:rsidRDefault="00E268C8" w:rsidP="00E268C8">
            <w:pPr>
              <w:rPr>
                <w:b/>
                <w:bCs/>
                <w:sz w:val="20"/>
                <w:szCs w:val="20"/>
              </w:rPr>
            </w:pPr>
            <w:r w:rsidRPr="00D32355">
              <w:rPr>
                <w:b/>
                <w:bCs/>
                <w:sz w:val="20"/>
                <w:szCs w:val="20"/>
              </w:rPr>
              <w:t> </w:t>
            </w:r>
          </w:p>
        </w:tc>
        <w:tc>
          <w:tcPr>
            <w:tcW w:w="1048" w:type="pct"/>
            <w:tcBorders>
              <w:top w:val="single" w:sz="4" w:space="0" w:color="auto"/>
              <w:left w:val="single" w:sz="4" w:space="0" w:color="auto"/>
              <w:bottom w:val="single" w:sz="4" w:space="0" w:color="auto"/>
              <w:right w:val="single" w:sz="4" w:space="0" w:color="auto"/>
            </w:tcBorders>
            <w:shd w:val="clear" w:color="auto" w:fill="99CCFF"/>
            <w:vAlign w:val="bottom"/>
          </w:tcPr>
          <w:p w:rsidR="00E268C8" w:rsidRPr="00D32355" w:rsidRDefault="00E268C8" w:rsidP="00E268C8">
            <w:pPr>
              <w:jc w:val="center"/>
              <w:rPr>
                <w:b/>
                <w:bCs/>
                <w:sz w:val="20"/>
                <w:szCs w:val="20"/>
              </w:rPr>
            </w:pPr>
            <w:r w:rsidRPr="00D32355">
              <w:rPr>
                <w:b/>
                <w:bCs/>
                <w:sz w:val="20"/>
                <w:szCs w:val="20"/>
              </w:rPr>
              <w:t>Nome istanza</w:t>
            </w:r>
          </w:p>
        </w:tc>
        <w:tc>
          <w:tcPr>
            <w:tcW w:w="1120" w:type="pct"/>
            <w:tcBorders>
              <w:top w:val="single" w:sz="4" w:space="0" w:color="000000"/>
              <w:left w:val="nil"/>
              <w:bottom w:val="single" w:sz="4" w:space="0" w:color="000000"/>
              <w:right w:val="single" w:sz="4" w:space="0" w:color="000000"/>
            </w:tcBorders>
            <w:shd w:val="clear" w:color="auto" w:fill="99CCFF"/>
            <w:vAlign w:val="bottom"/>
          </w:tcPr>
          <w:p w:rsidR="00E268C8" w:rsidRPr="00D32355" w:rsidRDefault="00E268C8" w:rsidP="00E268C8">
            <w:pPr>
              <w:jc w:val="center"/>
              <w:rPr>
                <w:b/>
                <w:bCs/>
                <w:sz w:val="20"/>
                <w:szCs w:val="20"/>
              </w:rPr>
            </w:pPr>
            <w:r w:rsidRPr="00D32355">
              <w:rPr>
                <w:b/>
                <w:bCs/>
                <w:sz w:val="20"/>
                <w:szCs w:val="20"/>
              </w:rPr>
              <w:t>Società</w:t>
            </w:r>
          </w:p>
        </w:tc>
        <w:tc>
          <w:tcPr>
            <w:tcW w:w="458" w:type="pct"/>
            <w:tcBorders>
              <w:top w:val="single" w:sz="4" w:space="0" w:color="000000"/>
              <w:left w:val="nil"/>
              <w:bottom w:val="single" w:sz="4" w:space="0" w:color="000000"/>
              <w:right w:val="single" w:sz="4" w:space="0" w:color="000000"/>
            </w:tcBorders>
            <w:shd w:val="clear" w:color="auto" w:fill="99CCFF"/>
            <w:vAlign w:val="bottom"/>
          </w:tcPr>
          <w:p w:rsidR="00E268C8" w:rsidRPr="00D32355" w:rsidRDefault="00E268C8" w:rsidP="00E268C8">
            <w:pPr>
              <w:jc w:val="center"/>
              <w:rPr>
                <w:b/>
                <w:bCs/>
                <w:sz w:val="20"/>
                <w:szCs w:val="20"/>
              </w:rPr>
            </w:pPr>
            <w:r w:rsidRPr="00D32355">
              <w:rPr>
                <w:b/>
                <w:bCs/>
                <w:sz w:val="20"/>
                <w:szCs w:val="20"/>
              </w:rPr>
              <w:t>Kmq</w:t>
            </w:r>
          </w:p>
        </w:tc>
        <w:tc>
          <w:tcPr>
            <w:tcW w:w="2123" w:type="pct"/>
            <w:tcBorders>
              <w:top w:val="single" w:sz="4" w:space="0" w:color="000000"/>
              <w:left w:val="nil"/>
              <w:bottom w:val="single" w:sz="4" w:space="0" w:color="000000"/>
              <w:right w:val="single" w:sz="4" w:space="0" w:color="000000"/>
            </w:tcBorders>
            <w:shd w:val="clear" w:color="auto" w:fill="99CCFF"/>
            <w:vAlign w:val="bottom"/>
          </w:tcPr>
          <w:p w:rsidR="00E268C8" w:rsidRPr="00D32355" w:rsidRDefault="00E268C8" w:rsidP="00E268C8">
            <w:pPr>
              <w:jc w:val="center"/>
              <w:rPr>
                <w:b/>
                <w:bCs/>
                <w:sz w:val="20"/>
                <w:szCs w:val="20"/>
              </w:rPr>
            </w:pPr>
            <w:r w:rsidRPr="00D32355">
              <w:rPr>
                <w:b/>
                <w:bCs/>
                <w:sz w:val="20"/>
                <w:szCs w:val="20"/>
              </w:rPr>
              <w:t>Comuni interessati</w:t>
            </w:r>
          </w:p>
        </w:tc>
      </w:tr>
      <w:tr w:rsidR="00E268C8" w:rsidRPr="00D32355">
        <w:trPr>
          <w:trHeight w:val="262"/>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1</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Aliano</w:t>
            </w:r>
          </w:p>
        </w:tc>
        <w:tc>
          <w:tcPr>
            <w:tcW w:w="1120" w:type="pct"/>
            <w:tcBorders>
              <w:top w:val="single" w:sz="4" w:space="0" w:color="auto"/>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Total - Eni</w:t>
            </w:r>
          </w:p>
        </w:tc>
        <w:tc>
          <w:tcPr>
            <w:tcW w:w="458" w:type="pct"/>
            <w:tcBorders>
              <w:top w:val="single" w:sz="4" w:space="0" w:color="auto"/>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154,56</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Aliano e Stigliano</w:t>
            </w:r>
          </w:p>
        </w:tc>
      </w:tr>
      <w:tr w:rsidR="00E268C8" w:rsidRPr="00D32355">
        <w:trPr>
          <w:trHeight w:val="255"/>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2</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Fosso valdienna</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Total – Eni - Shell</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34</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Accettura</w:t>
            </w:r>
          </w:p>
        </w:tc>
      </w:tr>
      <w:tr w:rsidR="00E268C8" w:rsidRPr="00D32355">
        <w:trPr>
          <w:trHeight w:val="256"/>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3</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Montalbano</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Medoilgas - Vega Oil</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165,04</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Montalbano Jonico</w:t>
            </w:r>
          </w:p>
        </w:tc>
      </w:tr>
      <w:tr w:rsidR="00E268C8" w:rsidRPr="00D32355">
        <w:trPr>
          <w:trHeight w:val="350"/>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4</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Monte negro</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Celtique energie - Appennine Energy</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287,7</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2052B0" w:rsidP="00D32355">
            <w:pPr>
              <w:rPr>
                <w:sz w:val="20"/>
                <w:szCs w:val="20"/>
              </w:rPr>
            </w:pPr>
            <w:r>
              <w:rPr>
                <w:sz w:val="20"/>
                <w:szCs w:val="20"/>
              </w:rPr>
              <w:t>Craco, San Mauro F</w:t>
            </w:r>
            <w:r w:rsidR="00E268C8" w:rsidRPr="00D32355">
              <w:rPr>
                <w:sz w:val="20"/>
                <w:szCs w:val="20"/>
              </w:rPr>
              <w:t>orte, Stigliano, Tursi</w:t>
            </w:r>
          </w:p>
        </w:tc>
      </w:tr>
      <w:tr w:rsidR="00E268C8" w:rsidRPr="00D32355">
        <w:trPr>
          <w:trHeight w:val="234"/>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5</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Pizzo Sciabolone</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Gas plus Italiana</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96,22</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2052B0">
            <w:pPr>
              <w:rPr>
                <w:sz w:val="20"/>
                <w:szCs w:val="20"/>
              </w:rPr>
            </w:pPr>
            <w:r w:rsidRPr="00D32355">
              <w:rPr>
                <w:sz w:val="20"/>
                <w:szCs w:val="20"/>
              </w:rPr>
              <w:t xml:space="preserve">San </w:t>
            </w:r>
            <w:r w:rsidR="002052B0">
              <w:rPr>
                <w:sz w:val="20"/>
                <w:szCs w:val="20"/>
              </w:rPr>
              <w:t>M</w:t>
            </w:r>
            <w:r w:rsidRPr="00D32355">
              <w:rPr>
                <w:sz w:val="20"/>
                <w:szCs w:val="20"/>
              </w:rPr>
              <w:t>auro</w:t>
            </w:r>
            <w:r w:rsidR="002052B0">
              <w:rPr>
                <w:sz w:val="20"/>
                <w:szCs w:val="20"/>
              </w:rPr>
              <w:t xml:space="preserve"> F</w:t>
            </w:r>
            <w:r w:rsidRPr="00D32355">
              <w:rPr>
                <w:sz w:val="20"/>
                <w:szCs w:val="20"/>
              </w:rPr>
              <w:t>orte, Stigliano e Tursi.</w:t>
            </w:r>
          </w:p>
        </w:tc>
      </w:tr>
      <w:tr w:rsidR="00E268C8" w:rsidRPr="00D32355">
        <w:trPr>
          <w:trHeight w:val="374"/>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6</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Serra S. Bernardo</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D32355" w:rsidP="00D32355">
            <w:pPr>
              <w:rPr>
                <w:sz w:val="20"/>
                <w:szCs w:val="20"/>
              </w:rPr>
            </w:pPr>
            <w:r>
              <w:rPr>
                <w:sz w:val="20"/>
                <w:szCs w:val="20"/>
              </w:rPr>
              <w:t>Eni – Medoilg</w:t>
            </w:r>
            <w:r w:rsidR="00E268C8" w:rsidRPr="00D32355">
              <w:rPr>
                <w:sz w:val="20"/>
                <w:szCs w:val="20"/>
              </w:rPr>
              <w:t>as - Total</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268,56</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Grottole, Grassano, Ferrandina e Miglionico</w:t>
            </w:r>
          </w:p>
        </w:tc>
      </w:tr>
      <w:tr w:rsidR="00E268C8" w:rsidRPr="00D32355">
        <w:trPr>
          <w:trHeight w:val="258"/>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7</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Teana</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Total -Eni</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231,04</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Potenza, Pietragalla e oppido Lucano</w:t>
            </w:r>
          </w:p>
        </w:tc>
      </w:tr>
      <w:tr w:rsidR="00E268C8" w:rsidRPr="00D32355">
        <w:trPr>
          <w:trHeight w:val="533"/>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8</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Tempa Moliano</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Total – Shell - Eni</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57,48</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2052B0" w:rsidP="002052B0">
            <w:pPr>
              <w:rPr>
                <w:sz w:val="20"/>
                <w:szCs w:val="20"/>
              </w:rPr>
            </w:pPr>
            <w:r>
              <w:rPr>
                <w:sz w:val="20"/>
                <w:szCs w:val="20"/>
              </w:rPr>
              <w:t>Teana, Carbone, San C</w:t>
            </w:r>
            <w:r w:rsidR="00E268C8" w:rsidRPr="00D32355">
              <w:rPr>
                <w:sz w:val="20"/>
                <w:szCs w:val="20"/>
              </w:rPr>
              <w:t>hirico</w:t>
            </w:r>
            <w:r>
              <w:rPr>
                <w:sz w:val="20"/>
                <w:szCs w:val="20"/>
              </w:rPr>
              <w:t xml:space="preserve"> R</w:t>
            </w:r>
            <w:r w:rsidR="00E268C8" w:rsidRPr="00D32355">
              <w:rPr>
                <w:sz w:val="20"/>
                <w:szCs w:val="20"/>
              </w:rPr>
              <w:t>aparo, Guardia Perticara e Armento</w:t>
            </w:r>
          </w:p>
        </w:tc>
      </w:tr>
      <w:tr w:rsidR="00E268C8" w:rsidRPr="00D32355">
        <w:trPr>
          <w:trHeight w:val="527"/>
          <w:jc w:val="center"/>
        </w:trPr>
        <w:tc>
          <w:tcPr>
            <w:tcW w:w="251" w:type="pct"/>
            <w:tcBorders>
              <w:top w:val="nil"/>
              <w:left w:val="single" w:sz="4" w:space="0" w:color="000000"/>
              <w:bottom w:val="single" w:sz="4" w:space="0" w:color="000000"/>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9</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Torrente Acqua fredda</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Aleanna Resources</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66,24</w:t>
            </w:r>
          </w:p>
        </w:tc>
        <w:tc>
          <w:tcPr>
            <w:tcW w:w="2123" w:type="pct"/>
            <w:tcBorders>
              <w:top w:val="nil"/>
              <w:left w:val="nil"/>
              <w:bottom w:val="single" w:sz="4" w:space="0" w:color="000000"/>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Castelmezzano, Albano di Lucania e Pietrapertosa</w:t>
            </w:r>
          </w:p>
        </w:tc>
      </w:tr>
      <w:tr w:rsidR="00E268C8" w:rsidRPr="00D32355">
        <w:trPr>
          <w:trHeight w:val="510"/>
          <w:jc w:val="center"/>
        </w:trPr>
        <w:tc>
          <w:tcPr>
            <w:tcW w:w="251" w:type="pct"/>
            <w:tcBorders>
              <w:top w:val="nil"/>
              <w:left w:val="single" w:sz="4" w:space="0" w:color="000000"/>
              <w:bottom w:val="single" w:sz="4" w:space="0" w:color="auto"/>
              <w:right w:val="single" w:sz="4" w:space="0" w:color="000000"/>
            </w:tcBorders>
            <w:shd w:val="clear" w:color="auto" w:fill="auto"/>
            <w:vAlign w:val="center"/>
          </w:tcPr>
          <w:p w:rsidR="00E268C8" w:rsidRPr="00D32355" w:rsidRDefault="00E268C8" w:rsidP="00D32355">
            <w:pPr>
              <w:rPr>
                <w:b/>
                <w:bCs/>
                <w:sz w:val="20"/>
                <w:szCs w:val="20"/>
              </w:rPr>
            </w:pPr>
            <w:r w:rsidRPr="00D32355">
              <w:rPr>
                <w:b/>
                <w:bCs/>
                <w:sz w:val="20"/>
                <w:szCs w:val="20"/>
              </w:rPr>
              <w:t>10</w:t>
            </w:r>
          </w:p>
        </w:tc>
        <w:tc>
          <w:tcPr>
            <w:tcW w:w="1048" w:type="pct"/>
            <w:tcBorders>
              <w:top w:val="nil"/>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Torrente Alvo</w:t>
            </w:r>
          </w:p>
        </w:tc>
        <w:tc>
          <w:tcPr>
            <w:tcW w:w="1120"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Celtique energie - Appennine Energy</w:t>
            </w:r>
          </w:p>
        </w:tc>
        <w:tc>
          <w:tcPr>
            <w:tcW w:w="458" w:type="pct"/>
            <w:tcBorders>
              <w:top w:val="nil"/>
              <w:left w:val="nil"/>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83,34</w:t>
            </w:r>
          </w:p>
        </w:tc>
        <w:tc>
          <w:tcPr>
            <w:tcW w:w="2123" w:type="pct"/>
            <w:tcBorders>
              <w:top w:val="nil"/>
              <w:left w:val="nil"/>
              <w:bottom w:val="single" w:sz="4" w:space="0" w:color="auto"/>
              <w:right w:val="single" w:sz="4" w:space="0" w:color="000000"/>
            </w:tcBorders>
            <w:shd w:val="clear" w:color="auto" w:fill="auto"/>
            <w:vAlign w:val="center"/>
          </w:tcPr>
          <w:p w:rsidR="00E268C8" w:rsidRPr="00D32355" w:rsidRDefault="00E268C8" w:rsidP="00D32355">
            <w:pPr>
              <w:rPr>
                <w:sz w:val="20"/>
                <w:szCs w:val="20"/>
              </w:rPr>
            </w:pPr>
            <w:r w:rsidRPr="00D32355">
              <w:rPr>
                <w:sz w:val="20"/>
                <w:szCs w:val="20"/>
              </w:rPr>
              <w:t>Grassano e Salandra</w:t>
            </w:r>
          </w:p>
        </w:tc>
      </w:tr>
      <w:tr w:rsidR="00E268C8" w:rsidRPr="00D32355">
        <w:trPr>
          <w:trHeight w:val="378"/>
          <w:jc w:val="center"/>
        </w:trPr>
        <w:tc>
          <w:tcPr>
            <w:tcW w:w="251" w:type="pct"/>
            <w:tcBorders>
              <w:top w:val="single" w:sz="4" w:space="0" w:color="auto"/>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b/>
                <w:bCs/>
                <w:sz w:val="20"/>
                <w:szCs w:val="20"/>
              </w:rPr>
            </w:pPr>
            <w:r w:rsidRPr="00D32355">
              <w:rPr>
                <w:b/>
                <w:bCs/>
                <w:sz w:val="20"/>
                <w:szCs w:val="20"/>
              </w:rPr>
              <w:t>11</w:t>
            </w:r>
          </w:p>
        </w:tc>
        <w:tc>
          <w:tcPr>
            <w:tcW w:w="1048" w:type="pct"/>
            <w:tcBorders>
              <w:top w:val="single" w:sz="4" w:space="0" w:color="auto"/>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Torrente La vella</w:t>
            </w:r>
          </w:p>
        </w:tc>
        <w:tc>
          <w:tcPr>
            <w:tcW w:w="1120" w:type="pct"/>
            <w:tcBorders>
              <w:top w:val="single" w:sz="4" w:space="0" w:color="auto"/>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Edison – Medoil gas</w:t>
            </w:r>
          </w:p>
        </w:tc>
        <w:tc>
          <w:tcPr>
            <w:tcW w:w="458" w:type="pct"/>
            <w:tcBorders>
              <w:top w:val="single" w:sz="4" w:space="0" w:color="auto"/>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9,65</w:t>
            </w:r>
          </w:p>
        </w:tc>
        <w:tc>
          <w:tcPr>
            <w:tcW w:w="2123" w:type="pct"/>
            <w:tcBorders>
              <w:top w:val="single" w:sz="4" w:space="0" w:color="auto"/>
              <w:left w:val="single" w:sz="4" w:space="0" w:color="auto"/>
              <w:bottom w:val="single" w:sz="4" w:space="0" w:color="auto"/>
              <w:right w:val="single" w:sz="4" w:space="0" w:color="auto"/>
            </w:tcBorders>
            <w:shd w:val="clear" w:color="auto" w:fill="auto"/>
            <w:vAlign w:val="center"/>
          </w:tcPr>
          <w:p w:rsidR="00E268C8" w:rsidRPr="00D32355" w:rsidRDefault="00E268C8" w:rsidP="00D32355">
            <w:pPr>
              <w:rPr>
                <w:sz w:val="20"/>
                <w:szCs w:val="20"/>
              </w:rPr>
            </w:pPr>
            <w:r w:rsidRPr="00D32355">
              <w:rPr>
                <w:sz w:val="20"/>
                <w:szCs w:val="20"/>
              </w:rPr>
              <w:t>Tolve e Oppido lucano</w:t>
            </w:r>
          </w:p>
        </w:tc>
      </w:tr>
      <w:tr w:rsidR="00E268C8" w:rsidRPr="00D32355" w:rsidTr="00A871C3">
        <w:trPr>
          <w:trHeight w:val="255"/>
          <w:jc w:val="center"/>
        </w:trPr>
        <w:tc>
          <w:tcPr>
            <w:tcW w:w="2419" w:type="pct"/>
            <w:gridSpan w:val="3"/>
            <w:tcBorders>
              <w:top w:val="single" w:sz="4" w:space="0" w:color="auto"/>
              <w:left w:val="single" w:sz="4" w:space="0" w:color="auto"/>
              <w:bottom w:val="single" w:sz="4" w:space="0" w:color="auto"/>
              <w:right w:val="single" w:sz="4" w:space="0" w:color="auto"/>
            </w:tcBorders>
            <w:shd w:val="clear" w:color="auto" w:fill="auto"/>
            <w:noWrap/>
            <w:vAlign w:val="center"/>
          </w:tcPr>
          <w:p w:rsidR="00E268C8" w:rsidRPr="00D32355" w:rsidRDefault="00E268C8" w:rsidP="00D32355">
            <w:pPr>
              <w:rPr>
                <w:b/>
                <w:sz w:val="20"/>
                <w:szCs w:val="20"/>
              </w:rPr>
            </w:pPr>
            <w:r w:rsidRPr="00D32355">
              <w:rPr>
                <w:b/>
                <w:sz w:val="20"/>
                <w:szCs w:val="20"/>
              </w:rPr>
              <w:t>Totale Kmq</w:t>
            </w:r>
          </w:p>
        </w:tc>
        <w:tc>
          <w:tcPr>
            <w:tcW w:w="458"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68C8" w:rsidRPr="00D32355" w:rsidRDefault="00E268C8" w:rsidP="00D32355">
            <w:pPr>
              <w:rPr>
                <w:b/>
                <w:bCs/>
                <w:sz w:val="20"/>
                <w:szCs w:val="20"/>
              </w:rPr>
            </w:pPr>
            <w:r w:rsidRPr="00D32355">
              <w:rPr>
                <w:b/>
                <w:bCs/>
                <w:sz w:val="20"/>
                <w:szCs w:val="20"/>
              </w:rPr>
              <w:t>1453,83</w:t>
            </w:r>
          </w:p>
        </w:tc>
        <w:tc>
          <w:tcPr>
            <w:tcW w:w="2123" w:type="pct"/>
            <w:tcBorders>
              <w:top w:val="single" w:sz="4" w:space="0" w:color="auto"/>
              <w:left w:val="single" w:sz="4" w:space="0" w:color="auto"/>
              <w:bottom w:val="single" w:sz="4" w:space="0" w:color="auto"/>
              <w:right w:val="single" w:sz="4" w:space="0" w:color="auto"/>
            </w:tcBorders>
            <w:shd w:val="clear" w:color="auto" w:fill="auto"/>
            <w:noWrap/>
            <w:vAlign w:val="center"/>
          </w:tcPr>
          <w:p w:rsidR="00E268C8" w:rsidRPr="00D32355" w:rsidRDefault="00E268C8" w:rsidP="00D32355">
            <w:pPr>
              <w:rPr>
                <w:sz w:val="20"/>
                <w:szCs w:val="20"/>
              </w:rPr>
            </w:pPr>
          </w:p>
        </w:tc>
      </w:tr>
    </w:tbl>
    <w:p w:rsidR="00E268C8" w:rsidRPr="00CA654C" w:rsidRDefault="00E268C8" w:rsidP="00E268C8">
      <w:pPr>
        <w:rPr>
          <w:sz w:val="10"/>
          <w:szCs w:val="10"/>
        </w:rPr>
      </w:pPr>
    </w:p>
    <w:p w:rsidR="00D32355" w:rsidRDefault="00D32355" w:rsidP="00A4730C">
      <w:pPr>
        <w:spacing w:after="240"/>
        <w:jc w:val="both"/>
        <w:rPr>
          <w:i/>
        </w:rPr>
      </w:pPr>
      <w:r w:rsidRPr="000C1461">
        <w:rPr>
          <w:i/>
        </w:rPr>
        <w:t>Fonte: elaborazione Legambiente su dati del Ministero dello sviluppo economico</w:t>
      </w:r>
    </w:p>
    <w:p w:rsidR="00D32355" w:rsidRDefault="00D32355" w:rsidP="00A4730C">
      <w:pPr>
        <w:tabs>
          <w:tab w:val="left" w:pos="1380"/>
        </w:tabs>
        <w:spacing w:after="120"/>
        <w:jc w:val="both"/>
        <w:rPr>
          <w:color w:val="000000"/>
        </w:rPr>
      </w:pPr>
      <w:r w:rsidRPr="00D32355">
        <w:rPr>
          <w:color w:val="000000"/>
        </w:rPr>
        <w:t>Le istanze di permesso di ricerca presenti in Basilicata sono 17 e interessano un territorio complessivo di 283</w:t>
      </w:r>
      <w:r w:rsidR="0067772F">
        <w:rPr>
          <w:color w:val="000000"/>
        </w:rPr>
        <w:t>3</w:t>
      </w:r>
      <w:r w:rsidRPr="00D32355">
        <w:rPr>
          <w:color w:val="000000"/>
        </w:rPr>
        <w:t xml:space="preserve"> kmq. Di queste 11 si trovano in corso di decreto di VIA per un totale di 1663.68 kmq, 3 sono in fase decisoria per un totale di 825,17 kmq,</w:t>
      </w:r>
      <w:r w:rsidR="009660C4">
        <w:rPr>
          <w:color w:val="000000"/>
        </w:rPr>
        <w:t xml:space="preserve"> 2 sono ancora alla prima fase di istruttoria </w:t>
      </w:r>
      <w:r w:rsidRPr="00D32355">
        <w:rPr>
          <w:color w:val="000000"/>
        </w:rPr>
        <w:t>per un totale di 34</w:t>
      </w:r>
      <w:r w:rsidR="009660C4">
        <w:rPr>
          <w:color w:val="000000"/>
        </w:rPr>
        <w:t>4</w:t>
      </w:r>
      <w:r w:rsidRPr="00D32355">
        <w:rPr>
          <w:color w:val="000000"/>
        </w:rPr>
        <w:t xml:space="preserve"> kmq. Tra le compagnie interessate le più presenti sono Eni con 6 istanze per un totale di 755,5 kmq, Shell Italia 4 istanze per un totale di 459,83 mentre Total ha 1 sola istanza, Tempa </w:t>
      </w:r>
      <w:smartTag w:uri="urn:schemas-microsoft-com:office:smarttags" w:element="PersonName">
        <w:smartTagPr>
          <w:attr w:name="ProductID" w:val="la Pertosa"/>
        </w:smartTagPr>
        <w:r w:rsidRPr="00D32355">
          <w:rPr>
            <w:color w:val="000000"/>
          </w:rPr>
          <w:t>la Pertosa</w:t>
        </w:r>
      </w:smartTag>
      <w:r w:rsidRPr="00D32355">
        <w:rPr>
          <w:color w:val="000000"/>
        </w:rPr>
        <w:t>, ma con un estensione di 412,11 kmq.</w:t>
      </w:r>
    </w:p>
    <w:p w:rsidR="00F65704" w:rsidRPr="00D32355" w:rsidRDefault="00F65704" w:rsidP="00A4730C">
      <w:pPr>
        <w:tabs>
          <w:tab w:val="left" w:pos="1380"/>
        </w:tabs>
        <w:spacing w:after="120"/>
        <w:jc w:val="both"/>
        <w:rPr>
          <w:color w:val="000000"/>
        </w:rPr>
      </w:pPr>
    </w:p>
    <w:p w:rsidR="00D32355" w:rsidRPr="00F65704" w:rsidRDefault="00D32355" w:rsidP="00F65704">
      <w:pPr>
        <w:rPr>
          <w:b/>
        </w:rPr>
      </w:pPr>
      <w:r w:rsidRPr="00F65704">
        <w:rPr>
          <w:b/>
        </w:rPr>
        <w:t>Tabella: Istanze di permessi di ricerca per idrocarburi in Basilicata</w:t>
      </w:r>
    </w:p>
    <w:p w:rsidR="00F65704" w:rsidRPr="00F65704" w:rsidRDefault="00F65704" w:rsidP="00F65704">
      <w:pPr>
        <w:rPr>
          <w:sz w:val="10"/>
          <w:szCs w:val="10"/>
        </w:rPr>
      </w:pPr>
    </w:p>
    <w:tbl>
      <w:tblPr>
        <w:tblW w:w="4992"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412"/>
        <w:gridCol w:w="1146"/>
        <w:gridCol w:w="1240"/>
        <w:gridCol w:w="1429"/>
        <w:gridCol w:w="986"/>
        <w:gridCol w:w="3495"/>
        <w:gridCol w:w="1054"/>
      </w:tblGrid>
      <w:tr w:rsidR="00E268C8" w:rsidRPr="00511C89" w:rsidTr="009660C4">
        <w:trPr>
          <w:trHeight w:val="226"/>
          <w:jc w:val="center"/>
        </w:trPr>
        <w:tc>
          <w:tcPr>
            <w:tcW w:w="211" w:type="pct"/>
            <w:shd w:val="clear" w:color="auto" w:fill="99CCFF"/>
            <w:vAlign w:val="center"/>
          </w:tcPr>
          <w:p w:rsidR="00E268C8" w:rsidRPr="00511C89" w:rsidRDefault="00E268C8" w:rsidP="00511C89">
            <w:pPr>
              <w:jc w:val="center"/>
              <w:rPr>
                <w:sz w:val="20"/>
                <w:szCs w:val="20"/>
              </w:rPr>
            </w:pPr>
          </w:p>
        </w:tc>
        <w:tc>
          <w:tcPr>
            <w:tcW w:w="587" w:type="pct"/>
            <w:shd w:val="clear" w:color="auto" w:fill="99CCFF"/>
            <w:vAlign w:val="center"/>
          </w:tcPr>
          <w:p w:rsidR="00E268C8" w:rsidRPr="00511C89" w:rsidRDefault="00E268C8" w:rsidP="00511C89">
            <w:pPr>
              <w:jc w:val="center"/>
              <w:rPr>
                <w:b/>
                <w:bCs/>
                <w:sz w:val="20"/>
                <w:szCs w:val="20"/>
              </w:rPr>
            </w:pPr>
            <w:r w:rsidRPr="00511C89">
              <w:rPr>
                <w:b/>
                <w:bCs/>
                <w:sz w:val="20"/>
                <w:szCs w:val="20"/>
              </w:rPr>
              <w:t>Arrivo</w:t>
            </w:r>
          </w:p>
        </w:tc>
        <w:tc>
          <w:tcPr>
            <w:tcW w:w="635" w:type="pct"/>
            <w:shd w:val="clear" w:color="auto" w:fill="99CCFF"/>
            <w:vAlign w:val="center"/>
          </w:tcPr>
          <w:p w:rsidR="00E268C8" w:rsidRPr="00511C89" w:rsidRDefault="00E268C8" w:rsidP="00511C89">
            <w:pPr>
              <w:jc w:val="center"/>
              <w:rPr>
                <w:b/>
                <w:bCs/>
                <w:sz w:val="20"/>
                <w:szCs w:val="20"/>
              </w:rPr>
            </w:pPr>
            <w:r w:rsidRPr="00511C89">
              <w:rPr>
                <w:b/>
                <w:bCs/>
                <w:sz w:val="20"/>
                <w:szCs w:val="20"/>
              </w:rPr>
              <w:t>Nome istanza</w:t>
            </w:r>
          </w:p>
        </w:tc>
        <w:tc>
          <w:tcPr>
            <w:tcW w:w="732" w:type="pct"/>
            <w:shd w:val="clear" w:color="auto" w:fill="99CCFF"/>
            <w:vAlign w:val="center"/>
          </w:tcPr>
          <w:p w:rsidR="00E268C8" w:rsidRPr="00511C89" w:rsidRDefault="00E268C8" w:rsidP="00511C89">
            <w:pPr>
              <w:jc w:val="center"/>
              <w:rPr>
                <w:b/>
                <w:bCs/>
                <w:sz w:val="20"/>
                <w:szCs w:val="20"/>
              </w:rPr>
            </w:pPr>
            <w:r w:rsidRPr="00511C89">
              <w:rPr>
                <w:b/>
                <w:bCs/>
                <w:sz w:val="20"/>
                <w:szCs w:val="20"/>
              </w:rPr>
              <w:t>Società</w:t>
            </w:r>
          </w:p>
        </w:tc>
        <w:tc>
          <w:tcPr>
            <w:tcW w:w="505" w:type="pct"/>
            <w:shd w:val="clear" w:color="auto" w:fill="99CCFF"/>
            <w:vAlign w:val="center"/>
          </w:tcPr>
          <w:p w:rsidR="00E268C8" w:rsidRPr="00511C89" w:rsidRDefault="00E268C8" w:rsidP="00511C89">
            <w:pPr>
              <w:jc w:val="center"/>
              <w:rPr>
                <w:b/>
                <w:bCs/>
                <w:sz w:val="20"/>
                <w:szCs w:val="20"/>
              </w:rPr>
            </w:pPr>
            <w:r w:rsidRPr="00511C89">
              <w:rPr>
                <w:b/>
                <w:bCs/>
                <w:sz w:val="20"/>
                <w:szCs w:val="20"/>
              </w:rPr>
              <w:t>Kmq</w:t>
            </w:r>
          </w:p>
        </w:tc>
        <w:tc>
          <w:tcPr>
            <w:tcW w:w="1790" w:type="pct"/>
            <w:shd w:val="clear" w:color="auto" w:fill="99CCFF"/>
            <w:vAlign w:val="center"/>
          </w:tcPr>
          <w:p w:rsidR="00E268C8" w:rsidRPr="00511C89" w:rsidRDefault="00E268C8" w:rsidP="00511C89">
            <w:pPr>
              <w:jc w:val="center"/>
              <w:rPr>
                <w:b/>
                <w:bCs/>
                <w:sz w:val="20"/>
                <w:szCs w:val="20"/>
              </w:rPr>
            </w:pPr>
            <w:r w:rsidRPr="00511C89">
              <w:rPr>
                <w:b/>
                <w:bCs/>
                <w:sz w:val="20"/>
                <w:szCs w:val="20"/>
              </w:rPr>
              <w:t>Comuni</w:t>
            </w:r>
          </w:p>
        </w:tc>
        <w:tc>
          <w:tcPr>
            <w:tcW w:w="540" w:type="pct"/>
            <w:shd w:val="clear" w:color="auto" w:fill="99CCFF"/>
            <w:vAlign w:val="center"/>
          </w:tcPr>
          <w:p w:rsidR="00E268C8" w:rsidRPr="00511C89" w:rsidRDefault="00E268C8" w:rsidP="00511C89">
            <w:pPr>
              <w:jc w:val="center"/>
              <w:rPr>
                <w:b/>
                <w:bCs/>
                <w:sz w:val="20"/>
                <w:szCs w:val="20"/>
              </w:rPr>
            </w:pPr>
            <w:r w:rsidRPr="00511C89">
              <w:rPr>
                <w:b/>
                <w:bCs/>
                <w:sz w:val="20"/>
                <w:szCs w:val="20"/>
              </w:rPr>
              <w:t>Fase</w:t>
            </w:r>
          </w:p>
        </w:tc>
      </w:tr>
      <w:tr w:rsidR="00E268C8" w:rsidRPr="00511C89" w:rsidTr="009660C4">
        <w:trPr>
          <w:trHeight w:val="330"/>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01/09/2005</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ANZI</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Eni</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117,4</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Abriola, Anzi, Brindisi Montagna, Calvello, Pignola, Potenza, Trivigno</w:t>
            </w:r>
          </w:p>
        </w:tc>
        <w:tc>
          <w:tcPr>
            <w:tcW w:w="540" w:type="pct"/>
            <w:shd w:val="clear" w:color="auto" w:fill="auto"/>
            <w:vAlign w:val="center"/>
          </w:tcPr>
          <w:p w:rsidR="00E268C8" w:rsidRPr="00511C89" w:rsidRDefault="00E268C8" w:rsidP="00511C89">
            <w:pPr>
              <w:jc w:val="center"/>
              <w:rPr>
                <w:b/>
                <w:bCs/>
                <w:sz w:val="20"/>
                <w:szCs w:val="20"/>
              </w:rPr>
            </w:pPr>
            <w:r w:rsidRPr="00511C89">
              <w:rPr>
                <w:b/>
                <w:sz w:val="16"/>
                <w:szCs w:val="16"/>
              </w:rPr>
              <w:t>In corso decreto VIA</w:t>
            </w:r>
          </w:p>
        </w:tc>
      </w:tr>
      <w:tr w:rsidR="00E268C8" w:rsidRPr="00511C89" w:rsidTr="009660C4">
        <w:trPr>
          <w:trHeight w:val="427"/>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2</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15/07/1997</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FRUSCI</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Eni</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237,13</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Atella, Avigliano, Baragiano, Bella, Filiano, Pietragalla, Pignola, Potenza, Ruoti, San Fele</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Fase decisoria</w:t>
            </w:r>
          </w:p>
        </w:tc>
      </w:tr>
      <w:tr w:rsidR="00E268C8" w:rsidRPr="00511C89" w:rsidTr="009660C4">
        <w:trPr>
          <w:trHeight w:val="562"/>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3</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01/02/2000</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GROTTE DEL SALICE</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Shell Italia EP</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118,14</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Aliano, Castronuovo di Sant'Andrea, Gallicchio, Missanello, Roccanova, San Chirico Raparo, San Martino d'Agri, Sant'Arcangelo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Fase decisoria</w:t>
            </w:r>
          </w:p>
        </w:tc>
      </w:tr>
      <w:tr w:rsidR="00E268C8" w:rsidRPr="00511C89" w:rsidTr="009660C4">
        <w:trPr>
          <w:trHeight w:val="394"/>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4</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28/02/2011</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IL PERITO</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Delta Energy</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91,39</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Miglionico, Montescaglioso, Pomarico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365"/>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5</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28/05/2012</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LA BICOCCA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Delta Energy</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155,5</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Barile, Melfi, Rapolla</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Istruttoria pre CIRM</w:t>
            </w:r>
          </w:p>
        </w:tc>
      </w:tr>
      <w:tr w:rsidR="00E268C8" w:rsidRPr="00511C89" w:rsidTr="009660C4">
        <w:trPr>
          <w:trHeight w:val="211"/>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6</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02/04/2012</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LA CAPRIOLA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Delta Energy</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188,1</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Bernalda, Montalbano Jonico, Montescaglioso, Pisticci, Pomarico.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Istruttoria pre CIRM</w:t>
            </w:r>
          </w:p>
        </w:tc>
      </w:tr>
      <w:tr w:rsidR="00E268C8" w:rsidRPr="00511C89" w:rsidTr="009660C4">
        <w:trPr>
          <w:trHeight w:val="296"/>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7</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01/09/2005</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LA CERASA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Shell Italia EP</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75,86</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Brienza, Marsico Nuovo, Sasso di Castalda, Satriano di Lucania, Tito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268"/>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8</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22/12/1997</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MASSERIA LA ROCCA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Eni - Medoilgas Italia - Total E&amp;P Italia</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13,06</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Brindisi Montagna</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481"/>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9</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31/12/2007</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MONTE LI FOI</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Eni</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140,7</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Baragiano, Picerno, Pignola, Potenza, Ruoti, Savoia di Lucania, Tito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564"/>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lastRenderedPageBreak/>
              <w:t>10</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08/10/1998</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OLIVETO LUCANO</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Esso Italiana - Total E&amp;P Italia</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188,23</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Accettura, Albano di Lucania, Calciano, Campomaggiore, Castelmezzano, Cirigliano, Garaguso, Oliveto Lucano, Pietrapertosa, San Mauro Forte, Stigliano, Tricarico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680"/>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11</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29/03/2006</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PALAZZO SAN GERVASIO</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Aleanna Resources LLC</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469,9</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Acerenza, Banzi, Barile, Forenza, Genzano di Lucania, Ginestra, Maschito, Montemilone, Oppido Lucano, Palazzo San Gervasio, Rapolla, Ripacandida, Venosa</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Fase decisoria</w:t>
            </w:r>
          </w:p>
        </w:tc>
      </w:tr>
      <w:tr w:rsidR="00E268C8" w:rsidRPr="00511C89" w:rsidTr="009660C4">
        <w:trPr>
          <w:trHeight w:val="233"/>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12</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01/09/2005</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PIGNOLA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Shell Italia EP</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54,83</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Abriola, Brindisi Montagna, Pignola, Potenza</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454"/>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13</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02/01/2008</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SAN FELE</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Eni</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142,9</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Atella, Bella, Filiano, Muro Lucano, Ruoti, San Fele</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517"/>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14</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22/09/2005</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SATRIANO DI LUCANIA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Eni</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104,3</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Abriola, Brienza, Picerno, Pignola, Sant'Angelo Le Fratte, Sasso di Castalda, Satriano di Lucania, Savoia di Lucania, Tito</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717"/>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15</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28/03/2007</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TEMPA LA PETROSA</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Total E&amp;P Italia</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412,1</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Canna, Colobraro, Montalbano Jonico, Montegiordano, Nocara, Nova Siri, Oriolo, Rocca Imperiale, Rotondella, San Giorgio Lucano, Sant'Arcangelo, Senise, Tursi, Valsinni</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700"/>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16</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01/09/2005</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MONTE CAVALLO</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Shell Italia EP</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211,9</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Atena Lucana, Brienza, Marsico Nuovo, Montesano sulla Marcellana, Padula, Paterno, Polla, Sala Consilina, Sant'Arsenio, Sassano, Teggiano, Tramutola</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511C89" w:rsidTr="009660C4">
        <w:trPr>
          <w:trHeight w:val="479"/>
          <w:jc w:val="center"/>
        </w:trPr>
        <w:tc>
          <w:tcPr>
            <w:tcW w:w="211" w:type="pct"/>
            <w:shd w:val="clear" w:color="auto" w:fill="auto"/>
            <w:vAlign w:val="center"/>
          </w:tcPr>
          <w:p w:rsidR="00E268C8" w:rsidRPr="00511C89" w:rsidRDefault="00E268C8" w:rsidP="00511C89">
            <w:pPr>
              <w:jc w:val="center"/>
              <w:rPr>
                <w:b/>
                <w:bCs/>
                <w:sz w:val="20"/>
                <w:szCs w:val="20"/>
              </w:rPr>
            </w:pPr>
            <w:r w:rsidRPr="00511C89">
              <w:rPr>
                <w:b/>
                <w:bCs/>
                <w:sz w:val="20"/>
                <w:szCs w:val="20"/>
              </w:rPr>
              <w:t>17</w:t>
            </w:r>
          </w:p>
        </w:tc>
        <w:tc>
          <w:tcPr>
            <w:tcW w:w="587" w:type="pct"/>
            <w:shd w:val="clear" w:color="auto" w:fill="auto"/>
            <w:vAlign w:val="center"/>
          </w:tcPr>
          <w:p w:rsidR="00E268C8" w:rsidRPr="00511C89" w:rsidRDefault="00E268C8" w:rsidP="00511C89">
            <w:pPr>
              <w:jc w:val="center"/>
              <w:rPr>
                <w:sz w:val="16"/>
                <w:szCs w:val="16"/>
              </w:rPr>
            </w:pPr>
            <w:r w:rsidRPr="00511C89">
              <w:rPr>
                <w:sz w:val="16"/>
                <w:szCs w:val="16"/>
              </w:rPr>
              <w:t>27/11/1996</w:t>
            </w:r>
          </w:p>
        </w:tc>
        <w:tc>
          <w:tcPr>
            <w:tcW w:w="635" w:type="pct"/>
            <w:shd w:val="clear" w:color="auto" w:fill="auto"/>
            <w:noWrap/>
            <w:vAlign w:val="center"/>
          </w:tcPr>
          <w:p w:rsidR="00E268C8" w:rsidRPr="00511C89" w:rsidRDefault="00E268C8" w:rsidP="00511C89">
            <w:pPr>
              <w:jc w:val="center"/>
              <w:rPr>
                <w:sz w:val="16"/>
                <w:szCs w:val="16"/>
              </w:rPr>
            </w:pPr>
            <w:r w:rsidRPr="00511C89">
              <w:rPr>
                <w:sz w:val="16"/>
                <w:szCs w:val="16"/>
              </w:rPr>
              <w:t>MURO LUCANO</w:t>
            </w:r>
          </w:p>
        </w:tc>
        <w:tc>
          <w:tcPr>
            <w:tcW w:w="732" w:type="pct"/>
            <w:shd w:val="clear" w:color="auto" w:fill="auto"/>
            <w:vAlign w:val="center"/>
          </w:tcPr>
          <w:p w:rsidR="00E268C8" w:rsidRPr="00511C89" w:rsidRDefault="00E268C8" w:rsidP="00511C89">
            <w:pPr>
              <w:jc w:val="center"/>
              <w:rPr>
                <w:sz w:val="16"/>
                <w:szCs w:val="16"/>
              </w:rPr>
            </w:pPr>
            <w:r w:rsidRPr="00511C89">
              <w:rPr>
                <w:sz w:val="16"/>
                <w:szCs w:val="16"/>
              </w:rPr>
              <w:t>Italmin Exploration</w:t>
            </w:r>
          </w:p>
        </w:tc>
        <w:tc>
          <w:tcPr>
            <w:tcW w:w="505" w:type="pct"/>
            <w:shd w:val="clear" w:color="auto" w:fill="auto"/>
            <w:vAlign w:val="center"/>
          </w:tcPr>
          <w:p w:rsidR="00E268C8" w:rsidRPr="00511C89" w:rsidRDefault="00E268C8" w:rsidP="00511C89">
            <w:pPr>
              <w:jc w:val="center"/>
              <w:rPr>
                <w:sz w:val="16"/>
                <w:szCs w:val="16"/>
              </w:rPr>
            </w:pPr>
            <w:r w:rsidRPr="00511C89">
              <w:rPr>
                <w:sz w:val="16"/>
                <w:szCs w:val="16"/>
              </w:rPr>
              <w:t>111,9</w:t>
            </w:r>
          </w:p>
        </w:tc>
        <w:tc>
          <w:tcPr>
            <w:tcW w:w="1790" w:type="pct"/>
            <w:shd w:val="clear" w:color="auto" w:fill="auto"/>
            <w:vAlign w:val="center"/>
          </w:tcPr>
          <w:p w:rsidR="00E268C8" w:rsidRPr="00511C89" w:rsidRDefault="00E268C8" w:rsidP="00511C89">
            <w:pPr>
              <w:jc w:val="center"/>
              <w:rPr>
                <w:sz w:val="16"/>
                <w:szCs w:val="16"/>
              </w:rPr>
            </w:pPr>
            <w:r w:rsidRPr="00511C89">
              <w:rPr>
                <w:sz w:val="16"/>
                <w:szCs w:val="16"/>
              </w:rPr>
              <w:t>Balvano, Baragiano, Bella, Castelgrande, Laviano, Muro Lucano, Pescopagano, San Fele</w:t>
            </w:r>
          </w:p>
        </w:tc>
        <w:tc>
          <w:tcPr>
            <w:tcW w:w="540" w:type="pct"/>
            <w:shd w:val="clear" w:color="auto" w:fill="auto"/>
            <w:vAlign w:val="center"/>
          </w:tcPr>
          <w:p w:rsidR="00E268C8" w:rsidRPr="00511C89" w:rsidRDefault="00E268C8" w:rsidP="00511C89">
            <w:pPr>
              <w:jc w:val="center"/>
              <w:rPr>
                <w:b/>
                <w:sz w:val="16"/>
                <w:szCs w:val="16"/>
              </w:rPr>
            </w:pPr>
            <w:r w:rsidRPr="00511C89">
              <w:rPr>
                <w:b/>
                <w:sz w:val="16"/>
                <w:szCs w:val="16"/>
              </w:rPr>
              <w:t>In corso decreto VIA</w:t>
            </w:r>
          </w:p>
        </w:tc>
      </w:tr>
      <w:tr w:rsidR="00E268C8" w:rsidRPr="00656B2E" w:rsidTr="00656B2E">
        <w:trPr>
          <w:trHeight w:val="226"/>
          <w:jc w:val="center"/>
        </w:trPr>
        <w:tc>
          <w:tcPr>
            <w:tcW w:w="1433" w:type="pct"/>
            <w:gridSpan w:val="3"/>
            <w:shd w:val="clear" w:color="auto" w:fill="auto"/>
            <w:noWrap/>
            <w:vAlign w:val="center"/>
          </w:tcPr>
          <w:p w:rsidR="00E268C8" w:rsidRPr="00656B2E" w:rsidRDefault="00E268C8" w:rsidP="00656B2E">
            <w:pPr>
              <w:rPr>
                <w:b/>
                <w:bCs/>
                <w:sz w:val="20"/>
                <w:szCs w:val="20"/>
              </w:rPr>
            </w:pPr>
            <w:r w:rsidRPr="00656B2E">
              <w:rPr>
                <w:b/>
                <w:bCs/>
                <w:sz w:val="20"/>
                <w:szCs w:val="20"/>
              </w:rPr>
              <w:t>Totale kmq</w:t>
            </w:r>
          </w:p>
        </w:tc>
        <w:tc>
          <w:tcPr>
            <w:tcW w:w="732" w:type="pct"/>
            <w:shd w:val="clear" w:color="auto" w:fill="auto"/>
            <w:noWrap/>
            <w:vAlign w:val="center"/>
          </w:tcPr>
          <w:p w:rsidR="00E268C8" w:rsidRPr="00656B2E" w:rsidRDefault="00E268C8" w:rsidP="00656B2E">
            <w:pPr>
              <w:rPr>
                <w:sz w:val="20"/>
                <w:szCs w:val="20"/>
              </w:rPr>
            </w:pPr>
          </w:p>
        </w:tc>
        <w:tc>
          <w:tcPr>
            <w:tcW w:w="505" w:type="pct"/>
            <w:shd w:val="clear" w:color="auto" w:fill="auto"/>
            <w:noWrap/>
            <w:vAlign w:val="center"/>
          </w:tcPr>
          <w:p w:rsidR="00E268C8" w:rsidRPr="00656B2E" w:rsidRDefault="00E268C8" w:rsidP="00656B2E">
            <w:pPr>
              <w:rPr>
                <w:b/>
                <w:bCs/>
                <w:sz w:val="20"/>
                <w:szCs w:val="20"/>
              </w:rPr>
            </w:pPr>
            <w:r w:rsidRPr="00656B2E">
              <w:rPr>
                <w:b/>
                <w:bCs/>
                <w:sz w:val="20"/>
                <w:szCs w:val="20"/>
              </w:rPr>
              <w:t>2833,34</w:t>
            </w:r>
          </w:p>
        </w:tc>
        <w:tc>
          <w:tcPr>
            <w:tcW w:w="1790" w:type="pct"/>
            <w:shd w:val="clear" w:color="auto" w:fill="auto"/>
            <w:noWrap/>
            <w:vAlign w:val="center"/>
          </w:tcPr>
          <w:p w:rsidR="00E268C8" w:rsidRPr="00656B2E" w:rsidRDefault="00E268C8" w:rsidP="00656B2E">
            <w:pPr>
              <w:rPr>
                <w:sz w:val="20"/>
                <w:szCs w:val="20"/>
              </w:rPr>
            </w:pPr>
          </w:p>
        </w:tc>
        <w:tc>
          <w:tcPr>
            <w:tcW w:w="540" w:type="pct"/>
            <w:shd w:val="clear" w:color="auto" w:fill="auto"/>
            <w:noWrap/>
            <w:vAlign w:val="center"/>
          </w:tcPr>
          <w:p w:rsidR="00E268C8" w:rsidRPr="00656B2E" w:rsidRDefault="00E268C8" w:rsidP="00656B2E">
            <w:pPr>
              <w:rPr>
                <w:sz w:val="20"/>
                <w:szCs w:val="20"/>
              </w:rPr>
            </w:pPr>
          </w:p>
        </w:tc>
      </w:tr>
    </w:tbl>
    <w:p w:rsidR="001303EB" w:rsidRPr="009660C4" w:rsidRDefault="001303EB" w:rsidP="001303EB">
      <w:pPr>
        <w:widowControl w:val="0"/>
        <w:autoSpaceDE w:val="0"/>
        <w:autoSpaceDN w:val="0"/>
        <w:adjustRightInd w:val="0"/>
        <w:jc w:val="both"/>
        <w:rPr>
          <w:b/>
          <w:sz w:val="10"/>
          <w:szCs w:val="10"/>
        </w:rPr>
      </w:pPr>
    </w:p>
    <w:p w:rsidR="00511C89" w:rsidRDefault="00511C89" w:rsidP="001303EB">
      <w:pPr>
        <w:widowControl w:val="0"/>
        <w:autoSpaceDE w:val="0"/>
        <w:autoSpaceDN w:val="0"/>
        <w:adjustRightInd w:val="0"/>
        <w:jc w:val="both"/>
        <w:rPr>
          <w:b/>
        </w:rPr>
      </w:pPr>
      <w:r w:rsidRPr="000C1461">
        <w:rPr>
          <w:i/>
        </w:rPr>
        <w:t>Fonte: elaborazione Legambiente su dati del Ministero dello sviluppo economico</w:t>
      </w:r>
    </w:p>
    <w:p w:rsidR="001303EB" w:rsidRDefault="001303EB" w:rsidP="001303EB">
      <w:pPr>
        <w:widowControl w:val="0"/>
        <w:autoSpaceDE w:val="0"/>
        <w:autoSpaceDN w:val="0"/>
        <w:adjustRightInd w:val="0"/>
        <w:jc w:val="both"/>
        <w:rPr>
          <w:b/>
        </w:rPr>
      </w:pPr>
    </w:p>
    <w:p w:rsidR="009660C4" w:rsidRPr="007165FB" w:rsidRDefault="009660C4" w:rsidP="002F0975">
      <w:pPr>
        <w:numPr>
          <w:ilvl w:val="0"/>
          <w:numId w:val="7"/>
        </w:numPr>
        <w:ind w:left="284" w:hanging="284"/>
        <w:jc w:val="both"/>
        <w:rPr>
          <w:b/>
          <w:sz w:val="28"/>
          <w:szCs w:val="28"/>
        </w:rPr>
      </w:pPr>
      <w:r>
        <w:rPr>
          <w:b/>
          <w:highlight w:val="yellow"/>
        </w:rPr>
        <w:br w:type="page"/>
      </w:r>
      <w:r w:rsidR="00A871C3" w:rsidRPr="00864794">
        <w:rPr>
          <w:rFonts w:ascii="(Tipo di carattere testo asiati" w:hAnsi="(Tipo di carattere testo asiati"/>
          <w:b/>
          <w:sz w:val="28"/>
          <w:szCs w:val="28"/>
        </w:rPr>
        <w:lastRenderedPageBreak/>
        <w:t>Gli accordi e le norme regionali sul petrolio</w:t>
      </w:r>
    </w:p>
    <w:p w:rsidR="00A4730C" w:rsidRDefault="00A4730C" w:rsidP="001303EB">
      <w:pPr>
        <w:widowControl w:val="0"/>
        <w:autoSpaceDE w:val="0"/>
        <w:autoSpaceDN w:val="0"/>
        <w:adjustRightInd w:val="0"/>
        <w:jc w:val="both"/>
      </w:pPr>
    </w:p>
    <w:p w:rsidR="001303EB" w:rsidRDefault="001303EB" w:rsidP="00A4730C">
      <w:pPr>
        <w:widowControl w:val="0"/>
        <w:autoSpaceDE w:val="0"/>
        <w:autoSpaceDN w:val="0"/>
        <w:adjustRightInd w:val="0"/>
        <w:spacing w:after="120"/>
        <w:jc w:val="both"/>
      </w:pPr>
      <w:r>
        <w:t>Sulla vicenda petrolio in Val d’Agri sono tre gli accordi principali firmati dalla Regione Basilicata:</w:t>
      </w:r>
    </w:p>
    <w:p w:rsidR="009660C4" w:rsidRPr="008A25D6" w:rsidRDefault="00E64FCE" w:rsidP="00A4730C">
      <w:pPr>
        <w:widowControl w:val="0"/>
        <w:autoSpaceDE w:val="0"/>
        <w:autoSpaceDN w:val="0"/>
        <w:adjustRightInd w:val="0"/>
        <w:spacing w:after="120"/>
        <w:jc w:val="both"/>
        <w:rPr>
          <w:iCs/>
        </w:rPr>
      </w:pPr>
      <w:r w:rsidRPr="00DE1666">
        <w:t>1)</w:t>
      </w:r>
      <w:r w:rsidR="001303EB">
        <w:t xml:space="preserve"> </w:t>
      </w:r>
      <w:r w:rsidR="001303EB" w:rsidRPr="007165FB">
        <w:rPr>
          <w:b/>
        </w:rPr>
        <w:t>Protocollo d’Intesa Stato – Regione</w:t>
      </w:r>
      <w:r w:rsidR="001303EB" w:rsidRPr="00DE1666">
        <w:t xml:space="preserve"> </w:t>
      </w:r>
      <w:r w:rsidR="001303EB">
        <w:t>(7 ottobre 1998), che prevede</w:t>
      </w:r>
      <w:r w:rsidR="00F65704">
        <w:t>va</w:t>
      </w:r>
      <w:r w:rsidR="001303EB">
        <w:t xml:space="preserve"> che lo Stato corrispond</w:t>
      </w:r>
      <w:r w:rsidR="00F65704">
        <w:t xml:space="preserve">esse </w:t>
      </w:r>
      <w:r w:rsidR="001303EB">
        <w:t xml:space="preserve">alla Regione Basilicata la sua quota di royalties, pari al 30% dell’aliquota totale, </w:t>
      </w:r>
      <w:r w:rsidR="00F65704">
        <w:t>impegnandosi</w:t>
      </w:r>
      <w:r w:rsidR="001303EB">
        <w:t xml:space="preserve"> a realizzare alcuni interventi infrastrutturali: il completamento della Variante Tito-Brienza; il completamento del tronco Corleto Perticara-S.P. Camastra della S.S. Saurina; il completamento dell’aviosuperficie di Grumento Nova.</w:t>
      </w:r>
      <w:r w:rsidR="009660C4">
        <w:t xml:space="preserve"> </w:t>
      </w:r>
      <w:r w:rsidR="00F65704">
        <w:rPr>
          <w:bCs/>
          <w:iCs/>
        </w:rPr>
        <w:t>A</w:t>
      </w:r>
      <w:r w:rsidR="009660C4">
        <w:rPr>
          <w:bCs/>
          <w:iCs/>
        </w:rPr>
        <w:t xml:space="preserve"> distanza di oltre 13 anni </w:t>
      </w:r>
      <w:r w:rsidR="00F65704">
        <w:rPr>
          <w:bCs/>
          <w:iCs/>
        </w:rPr>
        <w:t xml:space="preserve">dalla stipul adell’accordo, </w:t>
      </w:r>
      <w:r w:rsidR="009660C4">
        <w:rPr>
          <w:bCs/>
          <w:iCs/>
        </w:rPr>
        <w:t>il completamento della variante Tito-Brienza è al momento in fase di progettazione definitiva, il completamento della Saurina è stato finanziato (85 milioni di euro) con il Piano Sud ma i lavori non sono stati ancora avviati, mentre l’aviosuperficie di Grumento non è stata interessata da nessun tipo di finanziamento o progettazione.</w:t>
      </w:r>
    </w:p>
    <w:p w:rsidR="00E64FCE" w:rsidRDefault="001303EB" w:rsidP="00A4730C">
      <w:pPr>
        <w:widowControl w:val="0"/>
        <w:autoSpaceDE w:val="0"/>
        <w:autoSpaceDN w:val="0"/>
        <w:adjustRightInd w:val="0"/>
        <w:spacing w:after="120"/>
        <w:jc w:val="both"/>
      </w:pPr>
      <w:r w:rsidRPr="00E64FCE">
        <w:rPr>
          <w:b/>
          <w:sz w:val="20"/>
          <w:szCs w:val="20"/>
        </w:rPr>
        <w:t>2</w:t>
      </w:r>
      <w:r w:rsidR="00E64FCE" w:rsidRPr="00E64FCE">
        <w:rPr>
          <w:b/>
          <w:sz w:val="20"/>
          <w:szCs w:val="20"/>
        </w:rPr>
        <w:t>)</w:t>
      </w:r>
      <w:r>
        <w:rPr>
          <w:sz w:val="20"/>
          <w:szCs w:val="20"/>
        </w:rPr>
        <w:t xml:space="preserve"> </w:t>
      </w:r>
      <w:r>
        <w:rPr>
          <w:b/>
          <w:bCs/>
        </w:rPr>
        <w:t xml:space="preserve">Protocollo d’Intenti Regione - ENI S.P.A. </w:t>
      </w:r>
      <w:r>
        <w:t xml:space="preserve">(18 novembre 1998), il cui obiettivo principale è quello di </w:t>
      </w:r>
      <w:r>
        <w:rPr>
          <w:i/>
          <w:iCs/>
        </w:rPr>
        <w:t xml:space="preserve">“garantire lo sviluppo </w:t>
      </w:r>
      <w:r w:rsidRPr="00E64FCE">
        <w:rPr>
          <w:i/>
          <w:iCs/>
        </w:rPr>
        <w:t>socioeconomico delle aree interessate dall’estrazione petrolifera, in armonia con la valorizzazione delle risorse esistenti, in particolare quelle ambientali”</w:t>
      </w:r>
      <w:r w:rsidR="00743C23" w:rsidRPr="00E64FCE">
        <w:rPr>
          <w:i/>
          <w:iCs/>
        </w:rPr>
        <w:t xml:space="preserve">. </w:t>
      </w:r>
      <w:r w:rsidR="00743C23" w:rsidRPr="00E64FCE">
        <w:t xml:space="preserve">L’accordo ENI – Regione prevede lo </w:t>
      </w:r>
      <w:r w:rsidR="00743C23" w:rsidRPr="00E64FCE">
        <w:rPr>
          <w:bCs/>
          <w:i/>
          <w:iCs/>
        </w:rPr>
        <w:t>sviluppo della produzione fino ad un massimo di 104.000 barili/giorno</w:t>
      </w:r>
      <w:r w:rsidR="00743C23" w:rsidRPr="00E64FCE">
        <w:t xml:space="preserve">, l’ampliamento del Centro Oli di Viggiano, </w:t>
      </w:r>
      <w:r w:rsidR="00743C23" w:rsidRPr="00E64FCE">
        <w:rPr>
          <w:bCs/>
          <w:i/>
          <w:iCs/>
        </w:rPr>
        <w:t xml:space="preserve">la costruzione dell’oleodotto di </w:t>
      </w:r>
      <w:smartTag w:uri="urn:schemas-microsoft-com:office:smarttags" w:element="metricconverter">
        <w:smartTagPr>
          <w:attr w:name="ProductID" w:val="136 km"/>
        </w:smartTagPr>
        <w:r w:rsidR="00743C23" w:rsidRPr="00E64FCE">
          <w:rPr>
            <w:bCs/>
            <w:i/>
            <w:iCs/>
          </w:rPr>
          <w:t>136 km</w:t>
        </w:r>
      </w:smartTag>
      <w:r w:rsidR="00743C23" w:rsidRPr="00E64FCE">
        <w:rPr>
          <w:bCs/>
          <w:i/>
          <w:iCs/>
        </w:rPr>
        <w:t xml:space="preserve"> Viggiano-Taranto e di una rete di oleodotti interni</w:t>
      </w:r>
      <w:r w:rsidR="00743C23" w:rsidRPr="00E64FCE">
        <w:t xml:space="preserve">, di collegamento delle postazioni con il Centro Oli, per uno sviluppo complessivo di </w:t>
      </w:r>
      <w:smartTag w:uri="urn:schemas-microsoft-com:office:smarttags" w:element="metricconverter">
        <w:smartTagPr>
          <w:attr w:name="ProductID" w:val="120 km"/>
        </w:smartTagPr>
        <w:r w:rsidR="00743C23" w:rsidRPr="00E64FCE">
          <w:t>120 km</w:t>
        </w:r>
      </w:smartTag>
      <w:r w:rsidR="00743C23" w:rsidRPr="00E64FCE">
        <w:t xml:space="preserve"> (complessivamente le reti di trasporto del petrolio comportano una sottrazione di suolo stimata in circa </w:t>
      </w:r>
      <w:smartTag w:uri="urn:schemas-microsoft-com:office:smarttags" w:element="metricconverter">
        <w:smartTagPr>
          <w:attr w:name="ProductID" w:val="1.000 ettari"/>
        </w:smartTagPr>
        <w:r w:rsidR="00743C23" w:rsidRPr="00E64FCE">
          <w:t>1.000 ettari</w:t>
        </w:r>
      </w:smartTag>
      <w:r w:rsidR="00743C23" w:rsidRPr="00E64FCE">
        <w:t>).</w:t>
      </w:r>
    </w:p>
    <w:p w:rsidR="001303EB" w:rsidRDefault="002052B0" w:rsidP="00A4730C">
      <w:pPr>
        <w:widowControl w:val="0"/>
        <w:autoSpaceDE w:val="0"/>
        <w:autoSpaceDN w:val="0"/>
        <w:adjustRightInd w:val="0"/>
        <w:spacing w:after="120"/>
        <w:jc w:val="both"/>
      </w:pPr>
      <w:r w:rsidRPr="00E64FCE">
        <w:t xml:space="preserve">Nell’ambito di questo protocollo </w:t>
      </w:r>
      <w:r>
        <w:t>gli impegni sottoscritti da Eni sono stati:</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azioni di </w:t>
      </w:r>
      <w:r w:rsidRPr="00E64FCE">
        <w:rPr>
          <w:b/>
          <w:bCs/>
          <w:i/>
          <w:iCs/>
        </w:rPr>
        <w:t>compensazione ambientale</w:t>
      </w:r>
      <w:r w:rsidRPr="00E64FCE">
        <w:t>, per circa 5.6 milioni di euro l’anno per 10 anni;</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azioni per lo </w:t>
      </w:r>
      <w:r w:rsidRPr="00E64FCE">
        <w:rPr>
          <w:b/>
          <w:bCs/>
          <w:i/>
          <w:iCs/>
        </w:rPr>
        <w:t>sviluppo sostenibile</w:t>
      </w:r>
      <w:r w:rsidRPr="00E64FCE">
        <w:t>, con un contributo massimo di 516 mila euro l’anno per 10 anni;</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realizzazione di un </w:t>
      </w:r>
      <w:r w:rsidRPr="00E64FCE">
        <w:rPr>
          <w:b/>
          <w:bCs/>
          <w:i/>
          <w:iCs/>
        </w:rPr>
        <w:t>sistema di monitoraggio ambientale</w:t>
      </w:r>
      <w:r w:rsidRPr="00E64FCE">
        <w:t>: rete di misurazione delle emissioni e rete sismica (per un importo di circa 5 milioni di euro) e loro gestione, con una spesa massima di circa 3 milioni di euro l’anno per 15 anni;</w:t>
      </w:r>
    </w:p>
    <w:p w:rsidR="002052B0" w:rsidRPr="00E64FCE" w:rsidRDefault="002052B0" w:rsidP="002F0975">
      <w:pPr>
        <w:widowControl w:val="0"/>
        <w:numPr>
          <w:ilvl w:val="0"/>
          <w:numId w:val="1"/>
        </w:numPr>
        <w:autoSpaceDE w:val="0"/>
        <w:autoSpaceDN w:val="0"/>
        <w:adjustRightInd w:val="0"/>
        <w:spacing w:after="120"/>
        <w:jc w:val="both"/>
        <w:rPr>
          <w:rFonts w:ascii="TimesNewRomanPSMT" w:hAnsi="TimesNewRomanPSMT" w:cs="TimesNewRomanPSMT"/>
        </w:rPr>
      </w:pPr>
      <w:r w:rsidRPr="00E64FCE">
        <w:t xml:space="preserve">progettazione del completamento della </w:t>
      </w:r>
      <w:r w:rsidRPr="00E64FCE">
        <w:rPr>
          <w:b/>
          <w:bCs/>
          <w:i/>
          <w:iCs/>
        </w:rPr>
        <w:t xml:space="preserve">rete di distribuzione di metano </w:t>
      </w:r>
      <w:r w:rsidRPr="00E64FCE">
        <w:t>nei comuni lucani ancora sprovvisti, con un contributo di circa 1 milione di euro;</w:t>
      </w:r>
    </w:p>
    <w:p w:rsidR="002052B0" w:rsidRPr="00E64FCE" w:rsidRDefault="002052B0" w:rsidP="002F0975">
      <w:pPr>
        <w:widowControl w:val="0"/>
        <w:numPr>
          <w:ilvl w:val="0"/>
          <w:numId w:val="1"/>
        </w:numPr>
        <w:autoSpaceDE w:val="0"/>
        <w:autoSpaceDN w:val="0"/>
        <w:adjustRightInd w:val="0"/>
        <w:spacing w:after="120"/>
        <w:jc w:val="both"/>
      </w:pPr>
      <w:r w:rsidRPr="00E64FCE">
        <w:rPr>
          <w:b/>
          <w:bCs/>
          <w:i/>
          <w:iCs/>
        </w:rPr>
        <w:t xml:space="preserve">anticipazione royalties </w:t>
      </w:r>
      <w:r w:rsidRPr="00E64FCE">
        <w:t xml:space="preserve">per la produzione eccedente i 40.000 barili/giorno, per un totale </w:t>
      </w:r>
      <w:r w:rsidRPr="00E64FCE">
        <w:rPr>
          <w:rFonts w:ascii="TimesNewRomanPSMT" w:hAnsi="TimesNewRomanPSMT" w:cs="TimesNewRomanPSMT"/>
        </w:rPr>
        <w:t xml:space="preserve">di </w:t>
      </w:r>
      <w:r w:rsidRPr="00E64FCE">
        <w:t>circa 100 milioni di euro attualizzati;</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istituzione di un </w:t>
      </w:r>
      <w:r w:rsidRPr="00E64FCE">
        <w:rPr>
          <w:b/>
          <w:bCs/>
          <w:i/>
          <w:iCs/>
        </w:rPr>
        <w:t>Osservatorio ambientale</w:t>
      </w:r>
      <w:r w:rsidRPr="00E64FCE">
        <w:t>, da sostenere economicamente per 15 anni;</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costituzione, con </w:t>
      </w:r>
      <w:smartTag w:uri="urn:schemas-microsoft-com:office:smarttags" w:element="PersonName">
        <w:smartTagPr>
          <w:attr w:name="ProductID" w:val="la Regione Basilicata"/>
        </w:smartTagPr>
        <w:r w:rsidRPr="00E64FCE">
          <w:t>la Regione Basilicata</w:t>
        </w:r>
      </w:smartTag>
      <w:r w:rsidRPr="00E64FCE">
        <w:t xml:space="preserve">, di una </w:t>
      </w:r>
      <w:r w:rsidRPr="00E64FCE">
        <w:rPr>
          <w:b/>
          <w:bCs/>
          <w:i/>
          <w:iCs/>
        </w:rPr>
        <w:t>Società Energetica Regionale</w:t>
      </w:r>
      <w:r w:rsidRPr="00E64FCE">
        <w:t>;</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partecipazione ad una </w:t>
      </w:r>
      <w:r w:rsidRPr="00E64FCE">
        <w:rPr>
          <w:b/>
          <w:bCs/>
          <w:i/>
          <w:iCs/>
        </w:rPr>
        <w:t>Società Regionale di Sviluppo</w:t>
      </w:r>
      <w:r w:rsidRPr="00E64FCE">
        <w:t>, con un impegno di risorse di circa 5 milioni di euro;</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istituzione di </w:t>
      </w:r>
      <w:r w:rsidRPr="00E64FCE">
        <w:rPr>
          <w:b/>
          <w:bCs/>
          <w:i/>
          <w:iCs/>
        </w:rPr>
        <w:t xml:space="preserve">borse di studio </w:t>
      </w:r>
      <w:r w:rsidRPr="00E64FCE">
        <w:t>sull’ambiente, l’energia, il management delle risorse e l’innovazione tecnologica, per un impegno di circa 260 mila euro l’anno per 20 anni;</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realizzazione di una sede della </w:t>
      </w:r>
      <w:r w:rsidRPr="00E64FCE">
        <w:rPr>
          <w:b/>
          <w:bCs/>
          <w:i/>
          <w:iCs/>
        </w:rPr>
        <w:t xml:space="preserve">Fondazione Mattei </w:t>
      </w:r>
      <w:r w:rsidRPr="00E64FCE">
        <w:t>per la ricerca scientifica e ambientale;</w:t>
      </w:r>
    </w:p>
    <w:p w:rsidR="002052B0" w:rsidRPr="00E64FCE" w:rsidRDefault="002052B0" w:rsidP="002F0975">
      <w:pPr>
        <w:widowControl w:val="0"/>
        <w:numPr>
          <w:ilvl w:val="0"/>
          <w:numId w:val="1"/>
        </w:numPr>
        <w:autoSpaceDE w:val="0"/>
        <w:autoSpaceDN w:val="0"/>
        <w:adjustRightInd w:val="0"/>
        <w:spacing w:after="120"/>
        <w:jc w:val="both"/>
      </w:pPr>
      <w:r w:rsidRPr="00E64FCE">
        <w:t xml:space="preserve">definizione di un protocollo tra ENI, Ministero dell’Ambiente e Regione Basilicata, per la </w:t>
      </w:r>
      <w:r w:rsidRPr="00E64FCE">
        <w:rPr>
          <w:b/>
          <w:bCs/>
          <w:i/>
          <w:iCs/>
        </w:rPr>
        <w:t xml:space="preserve">minimizzazione degli impatti ambientali e dei fattori di rischio </w:t>
      </w:r>
      <w:r w:rsidRPr="00E64FCE">
        <w:t>legati all’attività petrolifera.</w:t>
      </w:r>
    </w:p>
    <w:p w:rsidR="002052B0" w:rsidRDefault="002052B0" w:rsidP="00A4730C">
      <w:pPr>
        <w:spacing w:after="120"/>
        <w:jc w:val="both"/>
      </w:pPr>
      <w:r>
        <w:t xml:space="preserve">A quasi 15 anni dalla sottoscrizione degli accordi alcuni risultano del tutto </w:t>
      </w:r>
      <w:r w:rsidRPr="000B6D66">
        <w:t xml:space="preserve">inattuati (azioni per lo </w:t>
      </w:r>
      <w:r w:rsidRPr="000B6D66">
        <w:rPr>
          <w:bCs/>
          <w:iCs/>
        </w:rPr>
        <w:t>sviluppo sostenibile,</w:t>
      </w:r>
      <w:r w:rsidRPr="000B6D66">
        <w:t xml:space="preserve"> partecipazione ad una </w:t>
      </w:r>
      <w:r w:rsidRPr="000B6D66">
        <w:rPr>
          <w:bCs/>
          <w:iCs/>
        </w:rPr>
        <w:t>Società Regionale di Sviluppo,</w:t>
      </w:r>
      <w:r w:rsidRPr="000B6D66">
        <w:t xml:space="preserve"> definizione di un protocollo</w:t>
      </w:r>
      <w:r>
        <w:t xml:space="preserve"> per</w:t>
      </w:r>
      <w:r w:rsidRPr="000B6D66">
        <w:rPr>
          <w:bCs/>
          <w:iCs/>
        </w:rPr>
        <w:t xml:space="preserve"> </w:t>
      </w:r>
      <w:r w:rsidRPr="000B6D66">
        <w:t xml:space="preserve">la </w:t>
      </w:r>
      <w:r w:rsidRPr="000B6D66">
        <w:rPr>
          <w:bCs/>
          <w:iCs/>
        </w:rPr>
        <w:t>minimizzazione degli impatti ambientali e dei fattori di rischio)</w:t>
      </w:r>
      <w:r>
        <w:rPr>
          <w:bCs/>
          <w:iCs/>
        </w:rPr>
        <w:t xml:space="preserve">, altri, pur avendo avuto attuazione non hanno finora generato una ricaduta altamente significativa sul territorio </w:t>
      </w:r>
      <w:r>
        <w:rPr>
          <w:bCs/>
          <w:iCs/>
        </w:rPr>
        <w:lastRenderedPageBreak/>
        <w:t xml:space="preserve">(Osservatorio ambientale, Fondazione Mattei), </w:t>
      </w:r>
      <w:r>
        <w:t>mentre la realizzazione del nuovo sistema di monitoraggio programmata da tempo, ha avuto il suo battesimo ufficiale con la pubblicazione dei primi risultati on-line il 10 novembre 2012. Peraltro anche gli oltre 50 milioni di euro che Eni ha messo in totale a disposizione per le cosiddette azioni di compensazione ambientale sono serviti solo a finanziare il settore della forestazione, garantendo l’aumento del numero di giornate lavorativa per gli addetti al settore ma al di fuori di ogni logica di ricaduta produttiva e progettuale per il settore.</w:t>
      </w:r>
    </w:p>
    <w:p w:rsidR="00ED677D" w:rsidRDefault="00743C23" w:rsidP="00A4730C">
      <w:pPr>
        <w:widowControl w:val="0"/>
        <w:autoSpaceDE w:val="0"/>
        <w:autoSpaceDN w:val="0"/>
        <w:adjustRightInd w:val="0"/>
        <w:spacing w:after="120"/>
        <w:jc w:val="both"/>
      </w:pPr>
      <w:r w:rsidRPr="00E64FCE">
        <w:rPr>
          <w:b/>
          <w:iCs/>
        </w:rPr>
        <w:t>3</w:t>
      </w:r>
      <w:r w:rsidR="00E64FCE" w:rsidRPr="00E64FCE">
        <w:rPr>
          <w:b/>
          <w:iCs/>
        </w:rPr>
        <w:t>)</w:t>
      </w:r>
      <w:r w:rsidR="001303EB" w:rsidRPr="00743C23">
        <w:rPr>
          <w:iCs/>
        </w:rPr>
        <w:t xml:space="preserve"> </w:t>
      </w:r>
      <w:r w:rsidR="001303EB" w:rsidRPr="00743C23">
        <w:rPr>
          <w:b/>
          <w:iCs/>
        </w:rPr>
        <w:t>MEMORANDUM</w:t>
      </w:r>
      <w:r w:rsidRPr="00743C23">
        <w:rPr>
          <w:b/>
          <w:iCs/>
        </w:rPr>
        <w:t xml:space="preserve"> di intesa Stato</w:t>
      </w:r>
      <w:r w:rsidR="00F65704">
        <w:rPr>
          <w:b/>
          <w:iCs/>
        </w:rPr>
        <w:t xml:space="preserve"> </w:t>
      </w:r>
      <w:r w:rsidRPr="00743C23">
        <w:rPr>
          <w:b/>
          <w:iCs/>
        </w:rPr>
        <w:t>-</w:t>
      </w:r>
      <w:r w:rsidR="00F65704">
        <w:rPr>
          <w:b/>
          <w:iCs/>
        </w:rPr>
        <w:t xml:space="preserve"> </w:t>
      </w:r>
      <w:r w:rsidRPr="00743C23">
        <w:rPr>
          <w:b/>
          <w:iCs/>
        </w:rPr>
        <w:t>Regione Basilicata</w:t>
      </w:r>
      <w:r>
        <w:rPr>
          <w:iCs/>
        </w:rPr>
        <w:t xml:space="preserve"> (29 aprile 2011)</w:t>
      </w:r>
      <w:r w:rsidR="00ED677D" w:rsidRPr="00ED677D">
        <w:t xml:space="preserve"> </w:t>
      </w:r>
      <w:r w:rsidR="00ED677D">
        <w:t xml:space="preserve">in cui si afferma che “lo Stato riconosce che </w:t>
      </w:r>
      <w:smartTag w:uri="urn:schemas-microsoft-com:office:smarttags" w:element="PersonName">
        <w:smartTagPr>
          <w:attr w:name="ProductID" w:val="la Basilicata"/>
        </w:smartTagPr>
        <w:r w:rsidR="00ED677D">
          <w:t>la Basilicata</w:t>
        </w:r>
      </w:smartTag>
      <w:r w:rsidR="00ED677D">
        <w:t xml:space="preserve"> rappresenta il nodo centrale del sistema dell’energia per il Mezzogiorno, svolgendo un ruolo rilevante per l’intero Paese” e pertanto si individuano alcune direttrici fondamentali in fatto di:</w:t>
      </w:r>
    </w:p>
    <w:p w:rsidR="00ED677D" w:rsidRDefault="00F65704" w:rsidP="002F0975">
      <w:pPr>
        <w:widowControl w:val="0"/>
        <w:numPr>
          <w:ilvl w:val="0"/>
          <w:numId w:val="4"/>
        </w:numPr>
        <w:autoSpaceDE w:val="0"/>
        <w:autoSpaceDN w:val="0"/>
        <w:adjustRightInd w:val="0"/>
        <w:spacing w:after="120"/>
        <w:jc w:val="both"/>
      </w:pPr>
      <w:r>
        <w:t>p</w:t>
      </w:r>
      <w:r w:rsidR="00ED677D">
        <w:t>revenzione, tutela dell’ambiente e del territorio e mantenimento delle qualità ambientali, con particolare riguardo anche alle strategie di ripristino ambientale, assunti come precondizione dello sfruttamento delle risorse energetiche fossili della Basilicata;</w:t>
      </w:r>
    </w:p>
    <w:p w:rsidR="00ED677D" w:rsidRDefault="00F65704" w:rsidP="002F0975">
      <w:pPr>
        <w:widowControl w:val="0"/>
        <w:numPr>
          <w:ilvl w:val="0"/>
          <w:numId w:val="4"/>
        </w:numPr>
        <w:autoSpaceDE w:val="0"/>
        <w:autoSpaceDN w:val="0"/>
        <w:adjustRightInd w:val="0"/>
        <w:spacing w:after="120"/>
        <w:jc w:val="both"/>
      </w:pPr>
      <w:r>
        <w:t>i</w:t>
      </w:r>
      <w:r w:rsidR="00ED677D">
        <w:t>ncremento dell’accessibilità regionale attraverso la connessione con i nodi delle reti nazionali della mobilità;</w:t>
      </w:r>
    </w:p>
    <w:p w:rsidR="00ED677D" w:rsidRDefault="00F65704" w:rsidP="002F0975">
      <w:pPr>
        <w:widowControl w:val="0"/>
        <w:numPr>
          <w:ilvl w:val="0"/>
          <w:numId w:val="4"/>
        </w:numPr>
        <w:autoSpaceDE w:val="0"/>
        <w:autoSpaceDN w:val="0"/>
        <w:adjustRightInd w:val="0"/>
        <w:spacing w:after="120"/>
        <w:jc w:val="both"/>
      </w:pPr>
      <w:r>
        <w:t>c</w:t>
      </w:r>
      <w:r w:rsidR="00ED677D">
        <w:t>reazione di nuova occupazione attraverso la ricerca, la formazione e la promozione di nuove iniziative in campo ambientale, turistico ed industriale;</w:t>
      </w:r>
    </w:p>
    <w:p w:rsidR="00ED677D" w:rsidRDefault="00F65704" w:rsidP="002F0975">
      <w:pPr>
        <w:widowControl w:val="0"/>
        <w:numPr>
          <w:ilvl w:val="0"/>
          <w:numId w:val="4"/>
        </w:numPr>
        <w:autoSpaceDE w:val="0"/>
        <w:autoSpaceDN w:val="0"/>
        <w:adjustRightInd w:val="0"/>
        <w:spacing w:after="120"/>
        <w:jc w:val="both"/>
      </w:pPr>
      <w:r>
        <w:t>c</w:t>
      </w:r>
      <w:r w:rsidR="00ED677D">
        <w:t>ostituzione di un cluster dell’energia avente valenza nazionale ed internazionale.</w:t>
      </w:r>
    </w:p>
    <w:p w:rsidR="00660B6A" w:rsidRDefault="00ED677D" w:rsidP="00A4730C">
      <w:pPr>
        <w:widowControl w:val="0"/>
        <w:autoSpaceDE w:val="0"/>
        <w:autoSpaceDN w:val="0"/>
        <w:adjustRightInd w:val="0"/>
        <w:spacing w:after="120"/>
        <w:jc w:val="both"/>
      </w:pPr>
      <w:r>
        <w:t>L’intesa sarà attuata mediante l’implementazione di specifiche linee d’azione</w:t>
      </w:r>
      <w:r w:rsidR="00660B6A">
        <w:t>.</w:t>
      </w:r>
    </w:p>
    <w:p w:rsidR="00660B6A" w:rsidRPr="00E64FCE" w:rsidRDefault="00660B6A" w:rsidP="00A4730C">
      <w:pPr>
        <w:widowControl w:val="0"/>
        <w:autoSpaceDE w:val="0"/>
        <w:autoSpaceDN w:val="0"/>
        <w:adjustRightInd w:val="0"/>
        <w:spacing w:after="120"/>
        <w:jc w:val="both"/>
      </w:pPr>
      <w:r w:rsidRPr="00E64FCE">
        <w:t>L’art.16 del decreto liberalizzazioni (legge  24  marzo  2012  n.  27) che istituisce, con parte delle risorse fiscali derivanti dal petrolio estratto, un fondo per lo sviluppo dei territori che contribuiscono al fabbisogno energetico nazionale, viene considerato l’elemento indispensabile per dare attuazione al Memorandum.</w:t>
      </w:r>
    </w:p>
    <w:p w:rsidR="002C3906" w:rsidRDefault="002C3906" w:rsidP="00A4730C">
      <w:pPr>
        <w:widowControl w:val="0"/>
        <w:autoSpaceDE w:val="0"/>
        <w:autoSpaceDN w:val="0"/>
        <w:adjustRightInd w:val="0"/>
        <w:spacing w:after="120"/>
        <w:jc w:val="both"/>
        <w:rPr>
          <w:bCs/>
          <w:iCs/>
        </w:rPr>
      </w:pPr>
    </w:p>
    <w:p w:rsidR="00CE1A09" w:rsidRDefault="00462342" w:rsidP="00A4730C">
      <w:pPr>
        <w:widowControl w:val="0"/>
        <w:autoSpaceDE w:val="0"/>
        <w:autoSpaceDN w:val="0"/>
        <w:adjustRightInd w:val="0"/>
        <w:spacing w:after="120"/>
        <w:jc w:val="both"/>
        <w:rPr>
          <w:b/>
          <w:bCs/>
          <w:iCs/>
        </w:rPr>
      </w:pPr>
      <w:r>
        <w:rPr>
          <w:bCs/>
          <w:iCs/>
        </w:rPr>
        <w:t xml:space="preserve">L’ultimo atto formale siglato il 4 ottobre 2012 è il </w:t>
      </w:r>
      <w:r w:rsidRPr="00462342">
        <w:rPr>
          <w:b/>
          <w:bCs/>
          <w:iCs/>
        </w:rPr>
        <w:t>Contratto di sito</w:t>
      </w:r>
      <w:r>
        <w:rPr>
          <w:b/>
          <w:bCs/>
          <w:iCs/>
        </w:rPr>
        <w:t xml:space="preserve"> (</w:t>
      </w:r>
      <w:r w:rsidRPr="00993862">
        <w:rPr>
          <w:i/>
        </w:rPr>
        <w:t xml:space="preserve">Protocollo d’Intesa tra </w:t>
      </w:r>
      <w:smartTag w:uri="urn:schemas-microsoft-com:office:smarttags" w:element="PersonName">
        <w:smartTagPr>
          <w:attr w:name="ProductID" w:val="la Regione Basilicata"/>
        </w:smartTagPr>
        <w:r w:rsidRPr="00993862">
          <w:rPr>
            <w:i/>
          </w:rPr>
          <w:t>la Regione Basilicata</w:t>
        </w:r>
      </w:smartTag>
      <w:r w:rsidRPr="00993862">
        <w:rPr>
          <w:i/>
        </w:rPr>
        <w:t>, l’ENI, le Organizzazioni sindacali ed imprenditoriali della Basilicata per la promozione di iniziative nel settore geominerario finalizzate allo sviluppo regionale</w:t>
      </w:r>
      <w:r w:rsidRPr="00993862">
        <w:t xml:space="preserve">, </w:t>
      </w:r>
      <w:r w:rsidRPr="00993862">
        <w:rPr>
          <w:i/>
        </w:rPr>
        <w:t>alla tutela della salute, della sicurezza e dell’occupazione</w:t>
      </w:r>
      <w:r>
        <w:rPr>
          <w:b/>
          <w:bCs/>
          <w:iCs/>
        </w:rPr>
        <w:t>)</w:t>
      </w:r>
      <w:r w:rsidRPr="00462342">
        <w:rPr>
          <w:b/>
          <w:bCs/>
          <w:iCs/>
        </w:rPr>
        <w:t xml:space="preserve"> che vede coinvolti oltre ENI e Regione Basilicata anche le principali sigle sindacali (Cgil, Cisl e Uil), Confindustria, Confartigianato, Alleanza Cooperative Italiane e Confapi.</w:t>
      </w:r>
    </w:p>
    <w:p w:rsidR="00462342" w:rsidRDefault="00462342" w:rsidP="00A4730C">
      <w:pPr>
        <w:widowControl w:val="0"/>
        <w:autoSpaceDE w:val="0"/>
        <w:autoSpaceDN w:val="0"/>
        <w:adjustRightInd w:val="0"/>
        <w:spacing w:after="120"/>
        <w:jc w:val="both"/>
        <w:rPr>
          <w:rFonts w:cs="Futura Book"/>
          <w:color w:val="000000"/>
          <w:sz w:val="23"/>
          <w:szCs w:val="23"/>
        </w:rPr>
      </w:pPr>
      <w:r>
        <w:rPr>
          <w:bCs/>
          <w:iCs/>
        </w:rPr>
        <w:t xml:space="preserve">L’accordo ha l’obiettivo di salvaguardare gli aspetti occupazionali e lo sviluppo delle piccole e medie imprese e si concentra su sei assi principali: </w:t>
      </w:r>
      <w:r>
        <w:rPr>
          <w:rFonts w:cs="Futura Book"/>
          <w:color w:val="000000"/>
          <w:sz w:val="23"/>
          <w:szCs w:val="23"/>
        </w:rPr>
        <w:t>Promozione di iniziative nel settore geo-minerario; Programmi delle attività per lo sviluppo; Iniziative a tutela della salute e della sicurezza; Modalità di approvvigionamento; Valorizzazione e salvaguardia delle risorse umane; Coinvolgimento delle Piccole e medie imprese.</w:t>
      </w:r>
    </w:p>
    <w:p w:rsidR="00462342" w:rsidRDefault="00462342" w:rsidP="00A4730C">
      <w:pPr>
        <w:spacing w:after="120"/>
        <w:jc w:val="both"/>
      </w:pPr>
      <w:r w:rsidRPr="00993862">
        <w:t xml:space="preserve">Legambiente non ha mai avuto dubbi sui percorsi di sviluppo più congeniali per l’area ed i limiti – in termini occupazionali – dell’attività </w:t>
      </w:r>
      <w:r w:rsidRPr="00462342">
        <w:t>estrattiva: bassa intensità della componente lavoro trai fattori della produzione, soprattutto se non qualificata. Tuttavia, imprescindibile – come per tutte le attività di questo genere – è l’attenzione massima per la sicurezza e la salubrità delle</w:t>
      </w:r>
      <w:r w:rsidRPr="00993862">
        <w:t xml:space="preserve"> condizioni di lavoro per le unità impiegate nei processi produttivi. In tal senso </w:t>
      </w:r>
      <w:r w:rsidR="00CE1A09">
        <w:t xml:space="preserve">il </w:t>
      </w:r>
      <w:r w:rsidRPr="00993862">
        <w:t>Contratto di sito, ed in particolare l’</w:t>
      </w:r>
      <w:r w:rsidRPr="00993862">
        <w:rPr>
          <w:rStyle w:val="Enfasigrassetto"/>
          <w:b w:val="0"/>
        </w:rPr>
        <w:t xml:space="preserve">Asse 3 “Iniziative a tutela della salute e della sicurezza”, </w:t>
      </w:r>
      <w:r w:rsidRPr="00993862">
        <w:t>è pienamente condivisibile nei contenuti, nell</w:t>
      </w:r>
      <w:r w:rsidR="00CE1A09">
        <w:t xml:space="preserve">o spirito e nella prospettiva. </w:t>
      </w:r>
      <w:r w:rsidRPr="00993862">
        <w:t>Ma è necessario che abbia reale applicazione al più presto – anzitutto nell’interesse dei lavoratori - così da rappresentare un primo concreto tassello del complesso sistema di un monitoraggio continuo e trasparente ed un elemento essenziale verso una piena consapevolezza delle popolazioni locali sulle possibili implicazioni ambientali e sanitarie dell’attività estrattiva.</w:t>
      </w:r>
    </w:p>
    <w:p w:rsidR="00CE1A09" w:rsidRDefault="00E64FCE" w:rsidP="00A4730C">
      <w:pPr>
        <w:widowControl w:val="0"/>
        <w:autoSpaceDE w:val="0"/>
        <w:autoSpaceDN w:val="0"/>
        <w:adjustRightInd w:val="0"/>
        <w:spacing w:after="120"/>
        <w:jc w:val="both"/>
      </w:pPr>
      <w:r w:rsidRPr="00E64FCE">
        <w:rPr>
          <w:iCs/>
        </w:rPr>
        <w:lastRenderedPageBreak/>
        <w:t>Per quanto riguarda</w:t>
      </w:r>
      <w:r w:rsidR="00462342">
        <w:rPr>
          <w:iCs/>
        </w:rPr>
        <w:t xml:space="preserve"> infine</w:t>
      </w:r>
      <w:r w:rsidRPr="00E64FCE">
        <w:rPr>
          <w:iCs/>
        </w:rPr>
        <w:t xml:space="preserve"> le norme riguardanti le attività petrolifere in Basilicata vale la pena citare l’ultima approvata nell’agosto scorso, la cosiddetta moratoria petrolifera. </w:t>
      </w:r>
      <w:r w:rsidR="00BD7F70">
        <w:t>L’art. 37 della legge regionale 8 agosto 2012 n. 16 stabilisce che: “</w:t>
      </w:r>
      <w:smartTag w:uri="urn:schemas-microsoft-com:office:smarttags" w:element="PersonName">
        <w:smartTagPr>
          <w:attr w:name="ProductID" w:val="la Regione Basilicata"/>
        </w:smartTagPr>
        <w:r w:rsidR="00BD7F70" w:rsidRPr="00954A62">
          <w:rPr>
            <w:i/>
          </w:rPr>
          <w:t>La Regione Basilicata</w:t>
        </w:r>
      </w:smartTag>
      <w:r w:rsidR="00BD7F70" w:rsidRPr="00954A62">
        <w:rPr>
          <w:i/>
        </w:rPr>
        <w:t xml:space="preserve"> nell’esercizio delle proprie competenze in materia di governo del territorio ed al fine di assicurare processi di sviluppo sostenibile, a far data dall’entrata in vigore della presente norma non rilascerà l’intesa, …., al conferimento di nuovi titoli minerari per la prospezione, ricerca e coltivazione di idrocarburi liquidi e gassosi</w:t>
      </w:r>
      <w:r w:rsidR="00BD7F70">
        <w:t>” e inoltre recita che: “</w:t>
      </w:r>
      <w:r w:rsidR="00BD7F70" w:rsidRPr="00954A62">
        <w:rPr>
          <w:i/>
        </w:rPr>
        <w:t xml:space="preserve">Le disposizioni della presente norma si applicano anche ai procedimenti amministrativi in corso per il rilascio dell’intesa sul conferimento di nuovi titoli minerari per la prospezione, ricerca e coltivazione di </w:t>
      </w:r>
      <w:r w:rsidR="00CE1A09">
        <w:rPr>
          <w:i/>
        </w:rPr>
        <w:t xml:space="preserve">idrocarburi liquidi e gassosi…. </w:t>
      </w:r>
      <w:r w:rsidR="00BD7F70" w:rsidRPr="00954A62">
        <w:rPr>
          <w:i/>
        </w:rPr>
        <w:t>Sono fatte salve le intese relative a titoli minerari in essere</w:t>
      </w:r>
      <w:r w:rsidR="00CE1A09">
        <w:t>”.</w:t>
      </w:r>
    </w:p>
    <w:p w:rsidR="00CE1A09" w:rsidRDefault="00BD7F70" w:rsidP="00A4730C">
      <w:pPr>
        <w:widowControl w:val="0"/>
        <w:autoSpaceDE w:val="0"/>
        <w:autoSpaceDN w:val="0"/>
        <w:adjustRightInd w:val="0"/>
        <w:spacing w:after="120"/>
        <w:jc w:val="both"/>
      </w:pPr>
      <w:r>
        <w:t>E’ la cosiddetta moratoria petrolifera</w:t>
      </w:r>
      <w:r w:rsidR="00954A62">
        <w:t xml:space="preserve">, strumento legislativo che autorizza </w:t>
      </w:r>
      <w:smartTag w:uri="urn:schemas-microsoft-com:office:smarttags" w:element="PersonName">
        <w:smartTagPr>
          <w:attr w:name="ProductID" w:val="la Regione Basilicata"/>
        </w:smartTagPr>
        <w:r w:rsidR="00954A62">
          <w:t>la Regione Basilicata</w:t>
        </w:r>
      </w:smartTag>
      <w:r w:rsidR="00954A62">
        <w:t xml:space="preserve"> a rigettare nuove istanze di permesso di ricerca p</w:t>
      </w:r>
      <w:r w:rsidR="00CE1A09">
        <w:t>resentate da aziende minerarie.</w:t>
      </w:r>
    </w:p>
    <w:p w:rsidR="00BD7F70" w:rsidRDefault="00954A62" w:rsidP="00A4730C">
      <w:pPr>
        <w:widowControl w:val="0"/>
        <w:autoSpaceDE w:val="0"/>
        <w:autoSpaceDN w:val="0"/>
        <w:adjustRightInd w:val="0"/>
        <w:spacing w:after="120"/>
        <w:jc w:val="both"/>
      </w:pPr>
      <w:r>
        <w:t xml:space="preserve">Il Consiglio dei Ministri ad inizio ottobre </w:t>
      </w:r>
      <w:smartTag w:uri="urn:schemas-microsoft-com:office:smarttags" w:element="metricconverter">
        <w:smartTagPr>
          <w:attr w:name="ProductID" w:val="2012 ha"/>
        </w:smartTagPr>
        <w:r>
          <w:t>2012 ha</w:t>
        </w:r>
      </w:smartTag>
      <w:r>
        <w:t xml:space="preserve"> deliberato di impugnare davanti alla Corte Costituzionale la legge 16, poiché “</w:t>
      </w:r>
      <w:r w:rsidRPr="00954A62">
        <w:rPr>
          <w:i/>
        </w:rPr>
        <w:t>contiene alcune disposizioni in materia di produzione di energia che contrastano con i principi statali in materia di produzione, trasporto e distribuzione dell'energia e, pertanto, violano l'art. 117, terzo comma, della Costituzione oltre che gli articoli 3, 41, primo comma, 117, primo comma e 117, secondo comma, lett. m), della Costituzione</w:t>
      </w:r>
      <w:r w:rsidR="00E64FCE">
        <w:t>”, come si legge dal verbale della riunione del Consiglio dei ministri del 4 ottobre scorso.</w:t>
      </w:r>
    </w:p>
    <w:p w:rsidR="00FF698E" w:rsidRPr="00CE1A09" w:rsidRDefault="00FF698E" w:rsidP="00A4730C">
      <w:pPr>
        <w:spacing w:after="120"/>
      </w:pPr>
    </w:p>
    <w:p w:rsidR="00462342" w:rsidRPr="00CE1A09" w:rsidRDefault="00462342" w:rsidP="001303EB"/>
    <w:p w:rsidR="001303EB" w:rsidRPr="00864794" w:rsidRDefault="00DE69F7" w:rsidP="002F0975">
      <w:pPr>
        <w:numPr>
          <w:ilvl w:val="0"/>
          <w:numId w:val="7"/>
        </w:numPr>
        <w:ind w:left="284" w:hanging="284"/>
        <w:jc w:val="both"/>
        <w:rPr>
          <w:rFonts w:ascii="(Tipo di carattere testo asiati" w:hAnsi="(Tipo di carattere testo asiati"/>
          <w:b/>
          <w:sz w:val="28"/>
          <w:szCs w:val="28"/>
        </w:rPr>
      </w:pPr>
      <w:r w:rsidRPr="00864794">
        <w:rPr>
          <w:rFonts w:ascii="(Tipo di carattere testo asiati" w:hAnsi="(Tipo di carattere testo asiati"/>
          <w:b/>
          <w:sz w:val="28"/>
          <w:szCs w:val="28"/>
        </w:rPr>
        <w:t>S</w:t>
      </w:r>
      <w:r w:rsidR="00FB5B23" w:rsidRPr="00864794">
        <w:rPr>
          <w:rFonts w:ascii="(Tipo di carattere testo asiati" w:hAnsi="(Tipo di carattere testo asiati"/>
          <w:b/>
          <w:sz w:val="28"/>
          <w:szCs w:val="28"/>
        </w:rPr>
        <w:t xml:space="preserve">icurezza, informazione e </w:t>
      </w:r>
      <w:r w:rsidR="002B30A9" w:rsidRPr="00864794">
        <w:rPr>
          <w:rFonts w:ascii="(Tipo di carattere testo asiati" w:hAnsi="(Tipo di carattere testo asiati"/>
          <w:b/>
          <w:sz w:val="28"/>
          <w:szCs w:val="28"/>
        </w:rPr>
        <w:t xml:space="preserve">tutela </w:t>
      </w:r>
      <w:r w:rsidR="00FB5B23" w:rsidRPr="00864794">
        <w:rPr>
          <w:rFonts w:ascii="(Tipo di carattere testo asiati" w:hAnsi="(Tipo di carattere testo asiati"/>
          <w:b/>
          <w:sz w:val="28"/>
          <w:szCs w:val="28"/>
        </w:rPr>
        <w:t>ambientale</w:t>
      </w:r>
    </w:p>
    <w:p w:rsidR="009660C4" w:rsidRPr="00C574B6" w:rsidRDefault="009660C4" w:rsidP="009660C4"/>
    <w:p w:rsidR="009660C4" w:rsidRPr="005F3198" w:rsidRDefault="009660C4" w:rsidP="006C7FA3">
      <w:pPr>
        <w:spacing w:after="120"/>
        <w:jc w:val="both"/>
      </w:pPr>
      <w:r w:rsidRPr="00773878">
        <w:t>Ne</w:t>
      </w:r>
      <w:r w:rsidR="00F65704">
        <w:t>gli anni di intensa</w:t>
      </w:r>
      <w:r w:rsidRPr="00773878">
        <w:t xml:space="preserve"> attività petrolifera in Basilicata una costante sono stati i frequenti incidenti. Dal volo dell’autocisterna sul viadot</w:t>
      </w:r>
      <w:r w:rsidR="00C574B6">
        <w:t xml:space="preserve">to Perolla del 1998 (uno tra i </w:t>
      </w:r>
      <w:r w:rsidRPr="00773878">
        <w:t xml:space="preserve">numerosi </w:t>
      </w:r>
      <w:r w:rsidRPr="005F3198">
        <w:t xml:space="preserve">ribaltamenti di autocisterne nella fase precedente la costruzione dell’oleodotto, con conseguenti sversamenti di greggio) che ha richiesto ingenti interventi di manutenzione e gravi disagi per la viabilità sul raccordo autostradale Potenza-Sicignano, fino all’incidente con fuoriuscita di greggio </w:t>
      </w:r>
      <w:r w:rsidRPr="007165FB">
        <w:t xml:space="preserve">dall’oleodotto </w:t>
      </w:r>
      <w:r w:rsidR="00C2736B" w:rsidRPr="007165FB">
        <w:t>in territorio di</w:t>
      </w:r>
      <w:r w:rsidRPr="007165FB">
        <w:t xml:space="preserve"> Bernalda</w:t>
      </w:r>
      <w:r w:rsidRPr="005F3198">
        <w:t xml:space="preserve"> del marzo del 2012 ed alla interminabile ‘fiammata’ al camino del Centro Oli del 28 settembre scorso. </w:t>
      </w:r>
      <w:r w:rsidRPr="005F3198">
        <w:rPr>
          <w:szCs w:val="22"/>
        </w:rPr>
        <w:t xml:space="preserve">Quest’ultimo, in particolare, </w:t>
      </w:r>
      <w:r w:rsidRPr="005F3198">
        <w:t xml:space="preserve">enfatizza platealmente due storiche gravi criticità connesse alla presenza dell’attività petrolifera in Val d’Agri: l’impatto ambientale della struttura produttiva e la carenza di informazioni certe e tempestive. </w:t>
      </w:r>
      <w:r w:rsidR="007165FB">
        <w:t>L’impianto di desolforizzazione</w:t>
      </w:r>
      <w:r w:rsidRPr="005F3198">
        <w:t>, così come dimostrato dall’esperienza ormai di un quindicennio, ha un’alta frequenza di malfunzionamenti, intop</w:t>
      </w:r>
      <w:r w:rsidR="00462342">
        <w:t>pi, incidenti: quello di venerdì</w:t>
      </w:r>
      <w:r w:rsidRPr="005F3198">
        <w:t xml:space="preserve"> 28 settembre</w:t>
      </w:r>
      <w:r w:rsidR="008241DC">
        <w:t xml:space="preserve"> 2012</w:t>
      </w:r>
      <w:r w:rsidRPr="005F3198">
        <w:t>, di più, ha fatto si che la rabbia dei cittadini valligiani per i cattivi odori o per il rumore divenisse vera e propria paura che un’esplosione fosse inevitabilmente imminente. Una brutale presa di coscienza – quattro ore è durato l’interv</w:t>
      </w:r>
      <w:r w:rsidR="00773878" w:rsidRPr="005F3198">
        <w:t xml:space="preserve">ento per ‘domare’ la fiamma, </w:t>
      </w:r>
      <w:r w:rsidRPr="005F3198">
        <w:t>dall’enorme rischio potenziale</w:t>
      </w:r>
      <w:r w:rsidR="00773878" w:rsidRPr="005F3198">
        <w:t>,</w:t>
      </w:r>
      <w:r w:rsidRPr="005F3198">
        <w:t xml:space="preserve"> praticamente sotto casa. A fronte di tutto ciò, l’indomani mattina abbiamo potuto leggere sulla stampa locale le rassicurazioni Eni sulle possibili conseguenze: </w:t>
      </w:r>
      <w:r w:rsidR="00773878" w:rsidRPr="005F3198">
        <w:t xml:space="preserve">ma </w:t>
      </w:r>
      <w:r w:rsidRPr="005F3198">
        <w:t>non può essere abbastanza.</w:t>
      </w:r>
    </w:p>
    <w:p w:rsidR="00830FCF" w:rsidRDefault="009660C4" w:rsidP="006C7FA3">
      <w:pPr>
        <w:spacing w:after="120"/>
        <w:jc w:val="both"/>
      </w:pPr>
      <w:r w:rsidRPr="005F3198">
        <w:t>Tanto più se si considera quanto era già evidentemente urgente già all’indomani dello sversamento</w:t>
      </w:r>
      <w:r w:rsidR="00773878" w:rsidRPr="005F3198">
        <w:t xml:space="preserve"> </w:t>
      </w:r>
      <w:r w:rsidRPr="005F3198">
        <w:t>di greggio nelle acque</w:t>
      </w:r>
      <w:r w:rsidRPr="009D3E08">
        <w:t xml:space="preserve"> circostanti il Centro Oli del 17 marzo 2002</w:t>
      </w:r>
      <w:r w:rsidR="00C86502" w:rsidRPr="009D3E08">
        <w:t xml:space="preserve">, quando veniva ribadita l’importanza e l’urgenza della </w:t>
      </w:r>
      <w:r w:rsidRPr="009D3E08">
        <w:t>questione dell’impatto ambientale delle attività petrolifere, del controllo delle stesse e de</w:t>
      </w:r>
      <w:r w:rsidR="009D3E08" w:rsidRPr="009D3E08">
        <w:t>lla sicurezza della popolazione, proponendo un monitoraggio costante, efficiente e trasp</w:t>
      </w:r>
      <w:r w:rsidR="009D3E08">
        <w:t>a</w:t>
      </w:r>
      <w:r w:rsidR="00430CF1">
        <w:t xml:space="preserve">rente. </w:t>
      </w:r>
      <w:r w:rsidRPr="00773878">
        <w:t>Peraltro, il potenziamento della capacità produttiva del centro oli implic</w:t>
      </w:r>
      <w:r w:rsidR="00830FCF">
        <w:t xml:space="preserve">herà inevitabilmente un aumento </w:t>
      </w:r>
      <w:r w:rsidRPr="00773878">
        <w:t>dei rischi da valutare attentamente.</w:t>
      </w:r>
    </w:p>
    <w:p w:rsidR="009D3E08" w:rsidRDefault="009D3E08" w:rsidP="006C7FA3">
      <w:pPr>
        <w:spacing w:after="120"/>
        <w:jc w:val="both"/>
      </w:pPr>
      <w:r>
        <w:t>In Val d’Agri occorre con urgenza</w:t>
      </w:r>
      <w:r w:rsidR="00843E34" w:rsidRPr="005F3198">
        <w:t xml:space="preserve"> </w:t>
      </w:r>
      <w:r w:rsidR="00843E34" w:rsidRPr="005F3198">
        <w:rPr>
          <w:rStyle w:val="Enfasicorsivo"/>
          <w:bCs/>
          <w:i w:val="0"/>
        </w:rPr>
        <w:t>recuperare il tempo perduto sul fronte dei controlli e della sicurezza</w:t>
      </w:r>
      <w:r w:rsidR="00843E34" w:rsidRPr="005F3198">
        <w:rPr>
          <w:i/>
        </w:rPr>
        <w:t xml:space="preserve">, </w:t>
      </w:r>
      <w:r w:rsidR="00843E34" w:rsidRPr="005F3198">
        <w:t>pe</w:t>
      </w:r>
      <w:r w:rsidR="00773878" w:rsidRPr="005F3198">
        <w:t>r i cittadini e per l’ambiente</w:t>
      </w:r>
      <w:r w:rsidR="00C25720">
        <w:t>.</w:t>
      </w:r>
    </w:p>
    <w:p w:rsidR="006C7FA3" w:rsidRDefault="006C7FA3" w:rsidP="006C7FA3">
      <w:pPr>
        <w:jc w:val="both"/>
      </w:pPr>
    </w:p>
    <w:p w:rsidR="00A64432" w:rsidRDefault="00993862" w:rsidP="006C7FA3">
      <w:pPr>
        <w:spacing w:after="120"/>
        <w:jc w:val="both"/>
      </w:pPr>
      <w:r w:rsidRPr="00A64432">
        <w:lastRenderedPageBreak/>
        <w:t>Sui controlli i</w:t>
      </w:r>
      <w:r w:rsidR="005F3198" w:rsidRPr="00A64432">
        <w:t>l 14 dicembre</w:t>
      </w:r>
      <w:r w:rsidR="005F3198">
        <w:t xml:space="preserve"> sc</w:t>
      </w:r>
      <w:r>
        <w:t>o</w:t>
      </w:r>
      <w:r w:rsidR="005F3198">
        <w:t>rso è stato finalm</w:t>
      </w:r>
      <w:r>
        <w:t>e</w:t>
      </w:r>
      <w:r w:rsidR="005F3198">
        <w:t xml:space="preserve">nte presentato il </w:t>
      </w:r>
      <w:r w:rsidRPr="00AB731C">
        <w:rPr>
          <w:i/>
        </w:rPr>
        <w:t xml:space="preserve">Piano di azione per il controllo della qualità dell’aria in Val d’Agri </w:t>
      </w:r>
      <w:r w:rsidRPr="00AB731C">
        <w:t>approvato dalla Giunta Regionale</w:t>
      </w:r>
      <w:r>
        <w:t xml:space="preserve"> e attualmente al vag</w:t>
      </w:r>
      <w:r w:rsidR="00462342">
        <w:t>l</w:t>
      </w:r>
      <w:r>
        <w:t xml:space="preserve">io delle commissioni. </w:t>
      </w:r>
      <w:r w:rsidR="009D3E08">
        <w:t xml:space="preserve">Un piano che segue il trasferimento, il 17 maggio </w:t>
      </w:r>
      <w:r w:rsidR="008241DC">
        <w:t>2012</w:t>
      </w:r>
      <w:r w:rsidR="009D3E08">
        <w:t xml:space="preserve">, delle 4 centraline di Viggiano, Grumento Nova e </w:t>
      </w:r>
      <w:r w:rsidR="00A871C3">
        <w:t>Montemurro all’Arpa Basilicata. Fino ad oggi c</w:t>
      </w:r>
      <w:r w:rsidR="005F3198">
        <w:t>i sono state, è vero, innumerevoli rilevazioni da parte di Metapontum Agrobios su incarico della Regione ma esse sono assimilabili più alla ricerca scientifica che al monitoraggio ambientale, per definizione completo, continuo e conoscibile (le risultanze delle indagini Agrobios sono di proprietà del committente e a discrezione di questi pos</w:t>
      </w:r>
      <w:r w:rsidR="00A64432">
        <w:t>sono o meno essere divulgate).</w:t>
      </w:r>
    </w:p>
    <w:p w:rsidR="00A64432" w:rsidRDefault="005F3198" w:rsidP="006C7FA3">
      <w:pPr>
        <w:spacing w:after="120"/>
        <w:jc w:val="both"/>
      </w:pPr>
      <w:r>
        <w:t xml:space="preserve">Gli stessi vertici istituzionali regionali oggi ammettono che – in riferimento alla questione petrolio - si è sottovalutata, in passato, la questione ambientale privilegiando gli aspetti </w:t>
      </w:r>
      <w:r w:rsidRPr="00AB731C">
        <w:t xml:space="preserve">occupazionali. </w:t>
      </w:r>
      <w:r w:rsidR="00993862">
        <w:t>L</w:t>
      </w:r>
      <w:r w:rsidRPr="00AB731C">
        <w:t>’Arpa</w:t>
      </w:r>
      <w:r w:rsidR="00993862">
        <w:t>, grazie alle</w:t>
      </w:r>
      <w:r w:rsidRPr="00993862">
        <w:t xml:space="preserve"> quattro centraline nuove, acqui</w:t>
      </w:r>
      <w:r w:rsidRPr="00AB731C">
        <w:t>state da Eni ma gestite questa vo</w:t>
      </w:r>
      <w:r w:rsidR="00A64432">
        <w:t xml:space="preserve">lta dall’Agenzia regionale, ha </w:t>
      </w:r>
      <w:r w:rsidRPr="00AB731C">
        <w:t>avviato un’attività di monitoraggio che, pur rappresentando un’evoluzione rispetto al passato,</w:t>
      </w:r>
      <w:r w:rsidR="00993862">
        <w:t xml:space="preserve"> fino ad oggi ha</w:t>
      </w:r>
      <w:r w:rsidRPr="00AB731C">
        <w:t xml:space="preserve"> mostra</w:t>
      </w:r>
      <w:r w:rsidR="00A64432">
        <w:t>to i limiti di sempre.</w:t>
      </w:r>
    </w:p>
    <w:p w:rsidR="00A64432" w:rsidRDefault="00993862" w:rsidP="006C7FA3">
      <w:pPr>
        <w:spacing w:after="120"/>
        <w:jc w:val="both"/>
      </w:pPr>
      <w:r>
        <w:t>A</w:t>
      </w:r>
      <w:r w:rsidR="005F3198" w:rsidRPr="00AB731C">
        <w:t xml:space="preserve"> distanza di oltre 18 mesi dall’avvio dell’implementazione nessuna novità sostanziale si è rilevata in termini di chiarezza e diffusione delle informazioni.</w:t>
      </w:r>
    </w:p>
    <w:p w:rsidR="00A64432" w:rsidRDefault="00993862" w:rsidP="006C7FA3">
      <w:pPr>
        <w:spacing w:after="120"/>
        <w:jc w:val="both"/>
      </w:pPr>
      <w:r w:rsidRPr="007165FB">
        <w:t>Anche l</w:t>
      </w:r>
      <w:r w:rsidR="00E64FCE" w:rsidRPr="007165FB">
        <w:t>’istituzione nel marzo 2011</w:t>
      </w:r>
      <w:r w:rsidR="00A871C3" w:rsidRPr="007165FB">
        <w:t xml:space="preserve"> dell’Osservatorio Ambientale, </w:t>
      </w:r>
      <w:r w:rsidR="00FB5B23" w:rsidRPr="007165FB">
        <w:t>composto da un Comitato di Rappresentanza Territoriale e da un Comitato Tecnico-Scientifico</w:t>
      </w:r>
      <w:r w:rsidR="00A871C3" w:rsidRPr="007165FB">
        <w:t xml:space="preserve"> e aperto a tutti i portatori d’interesse, che dall’aprile del 2012 è passato sotto il controllo della Regione</w:t>
      </w:r>
      <w:r w:rsidR="00A64432" w:rsidRPr="007165FB">
        <w:t>.</w:t>
      </w:r>
    </w:p>
    <w:p w:rsidR="00FB5B23" w:rsidRPr="00EA076E" w:rsidRDefault="00A871C3" w:rsidP="006C7FA3">
      <w:pPr>
        <w:spacing w:after="120"/>
        <w:jc w:val="both"/>
      </w:pPr>
      <w:r w:rsidRPr="00A871C3">
        <w:t>L’Osservatorio s</w:t>
      </w:r>
      <w:r w:rsidR="00FB5B23" w:rsidRPr="00A871C3">
        <w:t xml:space="preserve">i pone su questa scia, avendo, tra gli altri, il compito di raccogliere dati che però sono </w:t>
      </w:r>
      <w:r w:rsidRPr="00A871C3">
        <w:t xml:space="preserve">stati fino ad ora </w:t>
      </w:r>
      <w:r w:rsidR="00FB5B23" w:rsidRPr="00A871C3">
        <w:t>scarsi, frammentati, poco interpretabili e pochissimo consultabili. Legambiente in più occasioni ha richiesto ai diversi soggetti competenti i dati sulla rilevazione delle emissioni come sullo smaltimento dei fanghi di la</w:t>
      </w:r>
      <w:r w:rsidR="00D61DA1">
        <w:t>vorazione, senza mai ottenerli.</w:t>
      </w:r>
    </w:p>
    <w:p w:rsidR="00A700AB" w:rsidRPr="0028267F" w:rsidRDefault="00A700AB" w:rsidP="006C7FA3">
      <w:pPr>
        <w:autoSpaceDE w:val="0"/>
        <w:autoSpaceDN w:val="0"/>
        <w:adjustRightInd w:val="0"/>
        <w:spacing w:after="120"/>
        <w:jc w:val="both"/>
      </w:pPr>
      <w:r w:rsidRPr="007165FB">
        <w:t xml:space="preserve">Oggi leggiamo dal report Eni in Basilicata 2012 che nel </w:t>
      </w:r>
      <w:r w:rsidR="008241DC">
        <w:t xml:space="preserve">solo </w:t>
      </w:r>
      <w:r w:rsidR="00D06B08">
        <w:t xml:space="preserve">2011 </w:t>
      </w:r>
      <w:r w:rsidRPr="007165FB">
        <w:t>sono state prodotte 7.714 tonnellate di rifiuti di perforazione, che sono stati caratterizzati e smaltiti presso impianti di smaltimento autorizzati. Sarebbe proprio il caso di saperne di più sui fanghi di produzione e sul loro smaltimento, visto che da 15 anni sul tema non si hanno informazioni precise.</w:t>
      </w:r>
    </w:p>
    <w:p w:rsidR="00A700AB" w:rsidRDefault="00FB5B23" w:rsidP="006C7FA3">
      <w:pPr>
        <w:spacing w:after="120"/>
        <w:jc w:val="both"/>
      </w:pPr>
      <w:r w:rsidRPr="00AE23D4">
        <w:t>Contemporan</w:t>
      </w:r>
      <w:r>
        <w:t>eamente</w:t>
      </w:r>
      <w:r w:rsidR="00993862">
        <w:t xml:space="preserve"> ai controlli e all’informazione è fondame</w:t>
      </w:r>
      <w:r w:rsidR="00E64FCE">
        <w:t>n</w:t>
      </w:r>
      <w:r w:rsidR="00993862">
        <w:t>tale anche investire sul</w:t>
      </w:r>
      <w:r w:rsidR="00E64FCE">
        <w:t>la</w:t>
      </w:r>
      <w:r w:rsidR="00993862">
        <w:t xml:space="preserve"> tutela del territorio e sulla valorizzazione delle risorse na</w:t>
      </w:r>
      <w:r w:rsidR="00A700AB">
        <w:t>turali presenti in Val d’Agri.</w:t>
      </w:r>
    </w:p>
    <w:p w:rsidR="00A700AB" w:rsidRDefault="00993862" w:rsidP="006C7FA3">
      <w:pPr>
        <w:spacing w:after="120"/>
        <w:jc w:val="both"/>
      </w:pPr>
      <w:r>
        <w:t xml:space="preserve">Per questo </w:t>
      </w:r>
      <w:r w:rsidR="00FB5B23">
        <w:t xml:space="preserve">è necessario completare e consolidare </w:t>
      </w:r>
      <w:r w:rsidR="00FB5B23" w:rsidRPr="00AE23D4">
        <w:t>l’iter di istituzione del Parco Nazionale dell’Appennino Lucano Val d’Agri Lagonegrese, con la convocazione della Comunità del Parco ed il coinvolgimento diretto</w:t>
      </w:r>
      <w:r w:rsidR="00A871C3">
        <w:t xml:space="preserve"> delle Comuni</w:t>
      </w:r>
      <w:r w:rsidR="00A700AB">
        <w:t>tà locali, per dare</w:t>
      </w:r>
      <w:r w:rsidR="00FB5B23" w:rsidRPr="00AE23D4">
        <w:t xml:space="preserve"> maggiore forza politica ed amministrativa </w:t>
      </w:r>
      <w:r w:rsidR="00A871C3">
        <w:t xml:space="preserve">all’azione dell’Ente che </w:t>
      </w:r>
      <w:r w:rsidR="00FB5B23" w:rsidRPr="00AE23D4">
        <w:t>non può essere un corollario alle attività petrolifere.</w:t>
      </w:r>
    </w:p>
    <w:p w:rsidR="00A700AB" w:rsidRDefault="00FB5B23" w:rsidP="006C7FA3">
      <w:pPr>
        <w:spacing w:after="120"/>
        <w:jc w:val="both"/>
      </w:pPr>
      <w:r w:rsidRPr="00AE23D4">
        <w:t xml:space="preserve">Il Parco deve svolgere il suo ruolo di difesa estrema del territorio, anche dalle ingerenze delle compagnie petrolifere, per evitare una evidente sottrazione di “qualità ambientale” a questi territori. Quella “qualità ambientale” che, molto più del petrolio e per un tempo molto più lungo, può rappresentare il vero valore aggiunto in un territorio, come </w:t>
      </w:r>
      <w:smartTag w:uri="urn:schemas-microsoft-com:office:smarttags" w:element="PersonName">
        <w:smartTagPr>
          <w:attr w:name="ProductID" w:val="la Val"/>
        </w:smartTagPr>
        <w:r w:rsidRPr="00AE23D4">
          <w:t>la Val</w:t>
        </w:r>
      </w:smartTag>
      <w:r w:rsidRPr="00AE23D4">
        <w:t xml:space="preserve"> d’Agri e su cui il Parco dovrà puntare per ipotizzare un nuovo sviluppo dell’area.</w:t>
      </w:r>
    </w:p>
    <w:p w:rsidR="00FB5B23" w:rsidRDefault="00FB5B23" w:rsidP="006C7FA3">
      <w:pPr>
        <w:spacing w:after="120"/>
        <w:jc w:val="both"/>
      </w:pPr>
      <w:r w:rsidRPr="00AE23D4">
        <w:t xml:space="preserve">Naturalmente chi sarà chiamato a compiti di responsabilità in questa direzione dovrà avere ben chiara questa distinzione ed esprimere la volontà di perseguire, con il Parco Nazionale, </w:t>
      </w:r>
      <w:r>
        <w:t>queste</w:t>
      </w:r>
      <w:r w:rsidRPr="00AE23D4">
        <w:t xml:space="preserve"> finalità, sostenere ed incoraggiare le doverose azioni di tutela e non teorizzare su presunte compatibilità fra l’area protetta ed il petrolio.</w:t>
      </w:r>
    </w:p>
    <w:p w:rsidR="00F4034D" w:rsidRPr="00864794" w:rsidRDefault="006C7FA3" w:rsidP="002F0975">
      <w:pPr>
        <w:numPr>
          <w:ilvl w:val="0"/>
          <w:numId w:val="7"/>
        </w:numPr>
        <w:ind w:left="284" w:hanging="284"/>
        <w:jc w:val="both"/>
        <w:rPr>
          <w:rFonts w:ascii="(Tipo di carattere testo asiati" w:hAnsi="(Tipo di carattere testo asiati"/>
          <w:b/>
          <w:sz w:val="28"/>
          <w:szCs w:val="28"/>
        </w:rPr>
      </w:pPr>
      <w:r>
        <w:br w:type="page"/>
      </w:r>
      <w:r w:rsidR="00A871C3" w:rsidRPr="00A871C3">
        <w:rPr>
          <w:rFonts w:ascii="(Tipo di carattere testo asiati" w:hAnsi="(Tipo di carattere testo asiati"/>
          <w:b/>
          <w:sz w:val="28"/>
          <w:szCs w:val="28"/>
        </w:rPr>
        <w:lastRenderedPageBreak/>
        <w:t>La Val d’Agri, il Parco nazionale e lo sviluppo possibile</w:t>
      </w:r>
    </w:p>
    <w:p w:rsidR="00773878" w:rsidRDefault="00773878" w:rsidP="00CC35CC">
      <w:pPr>
        <w:jc w:val="both"/>
        <w:rPr>
          <w:rFonts w:ascii="(Tipo di carattere testo asiati" w:hAnsi="(Tipo di carattere testo asiati"/>
          <w:b/>
          <w:caps/>
        </w:rPr>
      </w:pPr>
    </w:p>
    <w:p w:rsidR="00C93BA1" w:rsidRDefault="00057993" w:rsidP="00CC35CC">
      <w:pPr>
        <w:spacing w:after="120"/>
        <w:jc w:val="both"/>
      </w:pPr>
      <w:r w:rsidRPr="00206425">
        <w:t>Diciassette anni è durato l</w:t>
      </w:r>
      <w:r w:rsidR="00C93BA1" w:rsidRPr="00206425">
        <w:t>’iter</w:t>
      </w:r>
      <w:r w:rsidR="005F3198">
        <w:t xml:space="preserve"> per l’istituzione del Parco nazionale Val d’Agri-Lagonegrese. Ovvero da</w:t>
      </w:r>
      <w:r w:rsidR="00C93BA1" w:rsidRPr="00206425">
        <w:t xml:space="preserve"> quando, nel 1991, la legge quadro av</w:t>
      </w:r>
      <w:r w:rsidR="002B30A9">
        <w:t xml:space="preserve">eva individuato </w:t>
      </w:r>
      <w:r w:rsidR="002B30A9" w:rsidRPr="007165FB">
        <w:t xml:space="preserve">questa area </w:t>
      </w:r>
      <w:r w:rsidR="00C93BA1" w:rsidRPr="007165FB">
        <w:t>dell’Appennino</w:t>
      </w:r>
      <w:r w:rsidR="00C93BA1" w:rsidRPr="00206425">
        <w:t xml:space="preserve"> lucano come area parco.</w:t>
      </w:r>
      <w:r w:rsidR="00773878">
        <w:t xml:space="preserve"> </w:t>
      </w:r>
      <w:r w:rsidR="00C93BA1" w:rsidRPr="00AE23D4">
        <w:t xml:space="preserve">Da allora molto è cambiato tanto nella percezione della realtà </w:t>
      </w:r>
      <w:r w:rsidR="007165FB">
        <w:t>del P</w:t>
      </w:r>
      <w:r w:rsidR="00C93BA1" w:rsidRPr="00AE23D4">
        <w:t>arco da parte della comunità locale, quanto nel progettato perimetro dello stesso</w:t>
      </w:r>
      <w:r w:rsidR="007165FB">
        <w:t xml:space="preserve">. </w:t>
      </w:r>
      <w:r w:rsidR="007165FB" w:rsidRPr="007165FB">
        <w:t>Inoltre oggi è differente</w:t>
      </w:r>
      <w:r w:rsidR="00D06B08">
        <w:t>,</w:t>
      </w:r>
      <w:r w:rsidR="007165FB" w:rsidRPr="007165FB">
        <w:t xml:space="preserve"> </w:t>
      </w:r>
      <w:r w:rsidR="00D06B08" w:rsidRPr="00AE23D4">
        <w:t>rispetto ai primi anni novanta</w:t>
      </w:r>
      <w:r w:rsidR="00D06B08">
        <w:t>,</w:t>
      </w:r>
      <w:r w:rsidR="00D06B08" w:rsidRPr="00AE23D4">
        <w:t xml:space="preserve"> </w:t>
      </w:r>
      <w:r w:rsidR="007165FB" w:rsidRPr="007165FB">
        <w:t>anche la prospettiva della</w:t>
      </w:r>
      <w:r w:rsidR="00C93BA1" w:rsidRPr="00AE23D4">
        <w:t xml:space="preserve"> funzione che può oggi svolgere un’area protetta per un territorio come </w:t>
      </w:r>
      <w:smartTag w:uri="urn:schemas-microsoft-com:office:smarttags" w:element="PersonName">
        <w:smartTagPr>
          <w:attr w:name="ProductID" w:val="la Val"/>
        </w:smartTagPr>
        <w:r w:rsidR="00C93BA1" w:rsidRPr="00AE23D4">
          <w:t>la Val</w:t>
        </w:r>
      </w:smartTag>
      <w:r w:rsidR="00C93BA1" w:rsidRPr="00AE23D4">
        <w:t xml:space="preserve"> d’Agri. Ciò evidentemente è da riconnettere alla decisione di privilegiare le attività di sfruttamento dell’esteso giacimento petrolifero locale. Anche volendo prescindere dai risultati industriali di questa opzione strategica, lo sfruttamento della risorsa petrolio ha comportato un pesante costo ambientale, tanto in termini di riduzione della superficie protetta quanto per il ritardo causato all’istituzione del Parco. Si è infatti passati da una prima proposta di perimetrazione pari ad un’estensione di circa </w:t>
      </w:r>
      <w:smartTag w:uri="urn:schemas-microsoft-com:office:smarttags" w:element="metricconverter">
        <w:smartTagPr>
          <w:attr w:name="ProductID" w:val="160.000 ettari"/>
        </w:smartTagPr>
        <w:r w:rsidR="00C93BA1" w:rsidRPr="00AE23D4">
          <w:t>160.000 ettari</w:t>
        </w:r>
      </w:smartTag>
      <w:r w:rsidR="00C93BA1" w:rsidRPr="00AE23D4">
        <w:t xml:space="preserve"> agli attuali 70.000 effettivi. Oggi il parco comprende l’intera corona montuosa della Val d’Agri, Monte Sirino, M. V</w:t>
      </w:r>
      <w:r w:rsidR="00343945">
        <w:t>u</w:t>
      </w:r>
      <w:r w:rsidR="00C93BA1" w:rsidRPr="00AE23D4">
        <w:t>lturino, M di Viggiano, M Raparo, il lago del Pertusillo ed altre aree di grande valore ambientale come 11 siti di importanza comunitaria (SIC), habitat di specie animali e vegetali di grande importanza scientifica.</w:t>
      </w:r>
    </w:p>
    <w:p w:rsidR="00C45F64" w:rsidRPr="007165FB" w:rsidRDefault="00C45F64" w:rsidP="00CC35CC">
      <w:pPr>
        <w:pStyle w:val="Corpotesto"/>
        <w:jc w:val="both"/>
      </w:pPr>
      <w:r w:rsidRPr="007165FB">
        <w:t>A questo proposito è utile ricordare che la Commissione Europea nel novembre 2002 avviava una procedura d’infrazione in relazione alle attività petrolifere che si svolgevano all’interno dei siti Bioitaly della Basilicata, su cui proprio la Legambiente aveva presentato un esposto-denuncia.</w:t>
      </w:r>
    </w:p>
    <w:p w:rsidR="00C45F64" w:rsidRPr="007165FB" w:rsidRDefault="00C45F64" w:rsidP="00CC35CC">
      <w:pPr>
        <w:pStyle w:val="Corpotesto"/>
        <w:jc w:val="both"/>
      </w:pPr>
      <w:r w:rsidRPr="007165FB">
        <w:t>L’Eni decide di riubicare 4 pozzi, originariamente previsti all’interno del sito Bioitaly denominato Serra di Calvello, ritenendo opportuno evitare altre attività petrolifere in quell’area e preferendo il loro spostamento su postazioni esterne. Purtroppo però ad immediato ridosso dello stesso SIC.</w:t>
      </w:r>
    </w:p>
    <w:p w:rsidR="00C45F64" w:rsidRPr="007165FB" w:rsidRDefault="00C45F64" w:rsidP="00CC35CC">
      <w:pPr>
        <w:autoSpaceDE w:val="0"/>
        <w:autoSpaceDN w:val="0"/>
        <w:adjustRightInd w:val="0"/>
        <w:spacing w:after="120"/>
        <w:jc w:val="both"/>
        <w:rPr>
          <w:rFonts w:ascii="TimesNewRomanPSMT" w:hAnsi="TimesNewRomanPSMT" w:cs="TimesNewRomanPSMT"/>
        </w:rPr>
      </w:pPr>
      <w:r w:rsidRPr="007165FB">
        <w:rPr>
          <w:rFonts w:ascii="TimesNewRomanPSMT" w:hAnsi="TimesNewRomanPSMT" w:cs="TimesNewRomanPSMT"/>
        </w:rPr>
        <w:t xml:space="preserve">Legambiente riteneva allora che la Giunta regionale, per un pieno e totale rispetto delle normative comunitarie, a cui la Commissione europea richiama il nostro Paese, </w:t>
      </w:r>
      <w:r w:rsidRPr="007165FB">
        <w:t>non doveva autorizzare l’ENI a proseguire le proprie attività in aree di elevato valore ambientale e non doveva consentire lo spostamento dei 4 pozzi in aree che sarebbero poi state inserite nel perimetro del Parco o limitrofe ad esso</w:t>
      </w:r>
      <w:r w:rsidRPr="007165FB">
        <w:rPr>
          <w:rFonts w:ascii="TimesNewRomanPSMT" w:hAnsi="TimesNewRomanPSMT" w:cs="TimesNewRomanPSMT"/>
        </w:rPr>
        <w:t>.</w:t>
      </w:r>
    </w:p>
    <w:p w:rsidR="00C11BD0" w:rsidRPr="00C11BD0" w:rsidRDefault="007165FB" w:rsidP="00CC35CC">
      <w:pPr>
        <w:autoSpaceDE w:val="0"/>
        <w:autoSpaceDN w:val="0"/>
        <w:adjustRightInd w:val="0"/>
        <w:spacing w:after="120"/>
        <w:jc w:val="both"/>
        <w:rPr>
          <w:rFonts w:ascii="TimesNewRomanPSMT" w:hAnsi="TimesNewRomanPSMT" w:cs="TimesNewRomanPSMT"/>
        </w:rPr>
      </w:pPr>
      <w:r>
        <w:rPr>
          <w:rFonts w:ascii="TimesNewRomanPSMT" w:hAnsi="TimesNewRomanPSMT" w:cs="TimesNewRomanPSMT"/>
        </w:rPr>
        <w:t>Ad oggi i</w:t>
      </w:r>
      <w:r w:rsidR="00134F7C" w:rsidRPr="007165FB">
        <w:rPr>
          <w:rFonts w:ascii="TimesNewRomanPSMT" w:hAnsi="TimesNewRomanPSMT" w:cs="TimesNewRomanPSMT"/>
        </w:rPr>
        <w:t xml:space="preserve"> pozzi ricadenti nel perimetro del Parco Nazionale dell’Appennino Lucano Val d’Agri Lagonegrese</w:t>
      </w:r>
      <w:r w:rsidR="00983AA7" w:rsidRPr="007165FB">
        <w:rPr>
          <w:rFonts w:ascii="TimesNewRomanPSMT" w:hAnsi="TimesNewRomanPSMT" w:cs="TimesNewRomanPSMT"/>
        </w:rPr>
        <w:t xml:space="preserve"> </w:t>
      </w:r>
      <w:r w:rsidR="00134F7C" w:rsidRPr="007165FB">
        <w:rPr>
          <w:rFonts w:ascii="TimesNewRomanPSMT" w:hAnsi="TimesNewRomanPSMT" w:cs="TimesNewRomanPSMT"/>
        </w:rPr>
        <w:t>potenzialmente produttivi sono 13, ubicati in 7 aree pozzo</w:t>
      </w:r>
      <w:r w:rsidR="00C11BD0" w:rsidRPr="007165FB">
        <w:rPr>
          <w:rFonts w:ascii="TimesNewRomanPSMT" w:hAnsi="TimesNewRomanPSMT" w:cs="TimesNewRomanPSMT"/>
        </w:rPr>
        <w:t>, i pozzi che ricadono in aree SIC e ZPS sono 12, distribuiti su 6 postazioni</w:t>
      </w:r>
      <w:r w:rsidR="00983AA7" w:rsidRPr="007165FB">
        <w:rPr>
          <w:rFonts w:ascii="TimesNewRomanPSMT" w:hAnsi="TimesNewRomanPSMT" w:cs="TimesNewRomanPSMT"/>
        </w:rPr>
        <w:t>, a dimostrazione del fatto che quelle indicazioni di principio sono state ampiamente disattese.</w:t>
      </w:r>
    </w:p>
    <w:p w:rsidR="00C93BA1" w:rsidRPr="00AE23D4" w:rsidRDefault="00160909" w:rsidP="00CC35CC">
      <w:pPr>
        <w:spacing w:after="120"/>
        <w:jc w:val="both"/>
      </w:pPr>
      <w:r w:rsidRPr="007165FB">
        <w:t xml:space="preserve">Dopo quindici anni di attività petrolifera </w:t>
      </w:r>
      <w:r w:rsidR="007E2AF1" w:rsidRPr="007165FB">
        <w:t>anche il senso che si da al Parco è cambiato e,</w:t>
      </w:r>
      <w:r w:rsidR="00C93BA1" w:rsidRPr="00AE23D4">
        <w:t xml:space="preserve"> se nei primi anni novanta, l</w:t>
      </w:r>
      <w:r w:rsidR="007E2AF1">
        <w:t xml:space="preserve">a sua </w:t>
      </w:r>
      <w:r w:rsidR="00C93BA1" w:rsidRPr="00AE23D4">
        <w:t>istituzione era soprattutto un elemento di forte valorizzazione di un territorio alla ricerca di una connotazione specifica nell’ambito di modelli di sviluppo endogeni e sostenibili, oggi – ancor più di quanto non sia nella natura intrinseca delle aree protette - assume anzitutto la funzione di difendere strenuamente le reali eccellenze peculiari dell’area: agricole e culturali, oltre che ovviamente ambientali.</w:t>
      </w:r>
    </w:p>
    <w:p w:rsidR="00C93BA1" w:rsidRPr="00AE23D4" w:rsidRDefault="00C93BA1" w:rsidP="00CC35CC">
      <w:pPr>
        <w:spacing w:after="120"/>
        <w:jc w:val="both"/>
      </w:pPr>
      <w:r w:rsidRPr="00AE23D4">
        <w:t>Di qui l’esigenza fortemente avvertita da Legambiente – da sempre convinta dell’essenziale importanza strategica del Parco per lo sviluppo della Val d’Agri – di provare a rispondere a quesiti fondamentali che i cittadini e le categorie produttive dell’area d</w:t>
      </w:r>
      <w:r w:rsidR="00773878">
        <w:t xml:space="preserve">a sempre, ma ancora di più oggi, </w:t>
      </w:r>
      <w:r w:rsidRPr="00AE23D4">
        <w:t>si pongono: “perché un Parco</w:t>
      </w:r>
      <w:r w:rsidR="007E2AF1">
        <w:t>,</w:t>
      </w:r>
      <w:r w:rsidRPr="00AE23D4">
        <w:t xml:space="preserve"> per giunta così frastagliato, per chi e per che cosa?”</w:t>
      </w:r>
    </w:p>
    <w:p w:rsidR="00C93BA1" w:rsidRPr="00AE23D4" w:rsidRDefault="00C93BA1" w:rsidP="00CC35CC">
      <w:pPr>
        <w:spacing w:after="120"/>
        <w:jc w:val="both"/>
      </w:pPr>
      <w:r w:rsidRPr="00AE23D4">
        <w:t>Rispondere affermando che</w:t>
      </w:r>
      <w:r w:rsidR="00DD4613">
        <w:t xml:space="preserve"> solo attraverso un parco si possono</w:t>
      </w:r>
      <w:r w:rsidRPr="00AE23D4">
        <w:t xml:space="preserve"> difendere e valorizzare efficacemente le rilevanti risorse ambientali, paesaggistiche e produttive su cui ancorare i processi di sviluppo e di crescita della competitività dell’intera realtà socio-economica locale, tanto più nell’ottica del ruolo di cerniera del Parco della Val d’Agri nel sistema delle aree protette dell’Appennino meridionale e APE (Appennino Parco d’Europa), sarebbe per noi fin troppo semplice ma forse poco convincente per una popolazione ormai del tutto disillusa e che va smarrendo qualsiasi orgoglio di identità territoriale.</w:t>
      </w:r>
    </w:p>
    <w:p w:rsidR="00C93BA1" w:rsidRPr="00993862" w:rsidRDefault="00C93BA1" w:rsidP="00CC35CC">
      <w:pPr>
        <w:spacing w:after="120"/>
        <w:jc w:val="both"/>
      </w:pPr>
      <w:r w:rsidRPr="00993862">
        <w:lastRenderedPageBreak/>
        <w:t>Ciononostante siamo convinti ancor più di quindici anni fa – non fosse altro perché è mancata la smentita dei fatti – che il Parco Nazionale possa rappresentare una delle più importanti iniziative, di valenza non soltanto locale, per modernizzare ed innovare le politiche di governo e sviluppo del territorio.</w:t>
      </w:r>
    </w:p>
    <w:p w:rsidR="00C93BA1" w:rsidRPr="00993862" w:rsidRDefault="00057993" w:rsidP="00CC35CC">
      <w:pPr>
        <w:spacing w:after="120"/>
        <w:jc w:val="both"/>
      </w:pPr>
      <w:r w:rsidRPr="00993862">
        <w:t>Una avanguardia culturale</w:t>
      </w:r>
      <w:r w:rsidR="00C93BA1" w:rsidRPr="00993862">
        <w:t xml:space="preserve"> capace di promuovere uno sviluppo effettivo e duraturo, perché endogeno, attraverso la difes</w:t>
      </w:r>
      <w:r w:rsidR="00DD4613">
        <w:t xml:space="preserve">a dell’ambiente naturale ed il </w:t>
      </w:r>
      <w:r w:rsidR="00C93BA1" w:rsidRPr="00993862">
        <w:t>recupero ed il mantenimento dell’identità e della forte vocazione rurale e turistica della Val d’Agri.</w:t>
      </w:r>
    </w:p>
    <w:p w:rsidR="00C93BA1" w:rsidRPr="00993862" w:rsidRDefault="00C93BA1" w:rsidP="00CC35CC">
      <w:pPr>
        <w:spacing w:after="120"/>
        <w:jc w:val="both"/>
      </w:pPr>
      <w:r w:rsidRPr="00993862">
        <w:t xml:space="preserve">Un’avanguardia che sappia cogliere le tensioni diffuse in maniera crescente nella nostra società, volte sempre più a privilegiare aspetti della qualità della vita da sempre presenti in Val d’Agri ma che sono stati sacrificati in nome di modelli di sviluppo esogeni, più o meno alla moda, più o meno speculativi, troppo spesso </w:t>
      </w:r>
      <w:r w:rsidR="00BE61F4">
        <w:t>improvvisati ed approssimativi.</w:t>
      </w:r>
    </w:p>
    <w:p w:rsidR="00BE61F4" w:rsidRDefault="00C93BA1" w:rsidP="00CC35CC">
      <w:pPr>
        <w:spacing w:after="120"/>
        <w:jc w:val="both"/>
      </w:pPr>
      <w:r w:rsidRPr="00993862">
        <w:t>Dire ciò non vuole intendere che pensiamo al Parco come panacea dei tanti e seri problemi in termini di sviluppo che affliggono il territorio, ma solo ribadire con forza ed estrema convinzione che il Parco della Val d’Agri può rappresentare un’opportunità strao</w:t>
      </w:r>
      <w:r w:rsidR="00BE61F4">
        <w:t>rdinaria per questo territorio.</w:t>
      </w:r>
    </w:p>
    <w:p w:rsidR="00C93BA1" w:rsidRPr="00993862" w:rsidRDefault="00C93BA1" w:rsidP="00CC35CC">
      <w:pPr>
        <w:spacing w:after="120"/>
        <w:jc w:val="both"/>
      </w:pPr>
      <w:r w:rsidRPr="00993862">
        <w:t>Per favorire realmente l’innesco di dinamiche virtuose intrinseche ad esso, con la prospettiva di svilupparle nel tempo perché stratificate nella storia, nella cultura e nelle tradizioni del luogo.</w:t>
      </w:r>
    </w:p>
    <w:p w:rsidR="00C93BA1" w:rsidRPr="00993862" w:rsidRDefault="00C93BA1" w:rsidP="00CC35CC">
      <w:pPr>
        <w:spacing w:after="120"/>
        <w:jc w:val="both"/>
      </w:pPr>
      <w:r w:rsidRPr="00993862">
        <w:t xml:space="preserve">Per fare ciò, </w:t>
      </w:r>
      <w:r w:rsidRPr="007165FB">
        <w:t xml:space="preserve">però, </w:t>
      </w:r>
      <w:r w:rsidR="00C95340" w:rsidRPr="007165FB">
        <w:t xml:space="preserve">è </w:t>
      </w:r>
      <w:r w:rsidRPr="007165FB">
        <w:t>necessa</w:t>
      </w:r>
      <w:r w:rsidR="00C95340" w:rsidRPr="007165FB">
        <w:t>rio</w:t>
      </w:r>
      <w:r w:rsidRPr="007165FB">
        <w:t xml:space="preserve"> un atto di</w:t>
      </w:r>
      <w:r w:rsidRPr="00993862">
        <w:t xml:space="preserve"> coraggio, una scelta decisa verso un modello preciso ch</w:t>
      </w:r>
      <w:r w:rsidR="00BE61F4">
        <w:t>e non ammette soluzioni ibride.</w:t>
      </w:r>
    </w:p>
    <w:p w:rsidR="00C95340" w:rsidRPr="00D06B08" w:rsidRDefault="00C93BA1" w:rsidP="00CC35CC">
      <w:pPr>
        <w:spacing w:after="120"/>
        <w:jc w:val="both"/>
      </w:pPr>
      <w:r w:rsidRPr="00993862">
        <w:t>Scelte coraggiose, dicevamo,</w:t>
      </w:r>
      <w:r w:rsidR="00414815" w:rsidRPr="00993862">
        <w:t xml:space="preserve"> s</w:t>
      </w:r>
      <w:r w:rsidR="00AE23D4" w:rsidRPr="00993862">
        <w:t>celte che sappiano andare</w:t>
      </w:r>
      <w:r w:rsidR="00AE23D4" w:rsidRPr="00D06B08">
        <w:t xml:space="preserve"> oltre i “rapporti di buon vicinato convegnistico” con ENI e Fondazione Mattei ma </w:t>
      </w:r>
      <w:r w:rsidR="009A5C88" w:rsidRPr="00D06B08">
        <w:t xml:space="preserve">li </w:t>
      </w:r>
      <w:r w:rsidR="00AE23D4" w:rsidRPr="00D06B08">
        <w:t>sappiano portare, piuttosto, sul terreno della prospettiva loc</w:t>
      </w:r>
      <w:r w:rsidR="00C95340" w:rsidRPr="00D06B08">
        <w:t>ale dello sviluppo sostenibile.</w:t>
      </w:r>
    </w:p>
    <w:p w:rsidR="00F53EE9" w:rsidRDefault="009A5C88" w:rsidP="00CC35CC">
      <w:pPr>
        <w:spacing w:after="120"/>
        <w:jc w:val="both"/>
      </w:pPr>
      <w:r w:rsidRPr="00993862">
        <w:t>Il Parco</w:t>
      </w:r>
      <w:r w:rsidR="00C93BA1" w:rsidRPr="00993862">
        <w:t xml:space="preserve"> come contesto progettuale e caratterizzante di ampio respiro, che sappia supplire a quella lacuna in termini di pianificazione dello sviluppo, causa prima del rischio di dispersione delle pur ingenti risorse economiche rivenienti dall’</w:t>
      </w:r>
      <w:r w:rsidR="00F53EE9">
        <w:t>attività estrattiva e non solo.</w:t>
      </w:r>
    </w:p>
    <w:p w:rsidR="00C93BA1" w:rsidRPr="00993862" w:rsidRDefault="00C93BA1" w:rsidP="00CC35CC">
      <w:pPr>
        <w:spacing w:after="120"/>
        <w:jc w:val="both"/>
      </w:pPr>
      <w:r w:rsidRPr="00993862">
        <w:t>Il parco come strumento ed opportunità da utilizzare al meglio, creando le condizioni idonee perché possa effettivamente esprimere le potenzialità in esso contenute e produrre i</w:t>
      </w:r>
      <w:r w:rsidR="00C25720">
        <w:t xml:space="preserve"> benefici che tanti auspicano.</w:t>
      </w:r>
    </w:p>
    <w:p w:rsidR="00F53EE9" w:rsidRDefault="00C93BA1" w:rsidP="00CC35CC">
      <w:pPr>
        <w:spacing w:after="120"/>
        <w:jc w:val="both"/>
      </w:pPr>
      <w:r w:rsidRPr="00993862">
        <w:t>Un formidabile moltiplicatore di opportunità, strumenti, risorse finanziarie che non deprime, ma anzi valorizza, favorisce, incoraggia e rilancia saperi, tradizioni, abilità, competenze, tecnologie, professionalità, servizi, aggiungendo nuovo valore e maggiori benefici economici alla presenza dell’uomo con la sua operosità.</w:t>
      </w:r>
    </w:p>
    <w:p w:rsidR="00C93BA1" w:rsidRDefault="00AE23D4" w:rsidP="00CC35CC">
      <w:pPr>
        <w:spacing w:after="120"/>
        <w:jc w:val="both"/>
      </w:pPr>
      <w:r w:rsidRPr="00D06B08">
        <w:t>Ma attribuire al Parco ruoli senza al contempo contribuire a garantire allo stesso strumenti e compattezza istituzionale appare quasi uno sca</w:t>
      </w:r>
      <w:r w:rsidR="000F54CD" w:rsidRPr="00D06B08">
        <w:t xml:space="preserve">ricabarile sull'ultimo arrivato. </w:t>
      </w:r>
      <w:r w:rsidR="00B8528F" w:rsidRPr="00D06B08">
        <w:t>Ed i</w:t>
      </w:r>
      <w:r w:rsidR="009A5C88" w:rsidRPr="00D06B08">
        <w:t xml:space="preserve">n tal senso </w:t>
      </w:r>
      <w:r w:rsidR="00B8528F" w:rsidRPr="00D06B08">
        <w:t xml:space="preserve">vanno le modifiche proposte da </w:t>
      </w:r>
      <w:r w:rsidR="009A5C88" w:rsidRPr="00D06B08">
        <w:t>Legambiente</w:t>
      </w:r>
      <w:r w:rsidR="00B8528F" w:rsidRPr="00D06B08">
        <w:t xml:space="preserve"> relativamente al processo di adeguamento in corso sulla legge n</w:t>
      </w:r>
      <w:r w:rsidRPr="00D06B08">
        <w:t>. 394 DEL 1991</w:t>
      </w:r>
      <w:r w:rsidR="00B8528F" w:rsidRPr="00D06B08">
        <w:t>, la legge sulle aree protette, allorquando:</w:t>
      </w:r>
      <w:r w:rsidR="00B8528F" w:rsidRPr="00993862">
        <w:rPr>
          <w:b/>
        </w:rPr>
        <w:t xml:space="preserve"> “ . . </w:t>
      </w:r>
      <w:r w:rsidRPr="00993862">
        <w:rPr>
          <w:i/>
        </w:rPr>
        <w:t>Esprimiamo parere positivo alla possibilità di ulteriori entrate per l’Ente parco</w:t>
      </w:r>
      <w:r w:rsidR="00B8528F" w:rsidRPr="00993862">
        <w:t>”. U</w:t>
      </w:r>
      <w:r w:rsidRPr="00993862">
        <w:t>na modifica molto importante perché capace di evidenziare il ruolo che le aree protette svolgono per la tutela delle risorse naturali.</w:t>
      </w:r>
      <w:r w:rsidR="00B8528F" w:rsidRPr="00993862">
        <w:t xml:space="preserve"> “ .. </w:t>
      </w:r>
      <w:r w:rsidR="00B8528F" w:rsidRPr="00993862">
        <w:rPr>
          <w:i/>
        </w:rPr>
        <w:t>Guardiamo con favore alla possibilità che i titolari di concessioni di derivazione d’acqua, concessionari di pontili per ormeggio o campi boe, paghino un canone annuale all’area protetta, al pari di coloro che nelle aree contigue sono titolari di autorizzazioni all'esercizio di attività estrattive, di concessioni di stoccaggio, di coltivazione degli idrocarburi, o titolari all’esercizio di oleodotti, metanodotti e elettrodotti</w:t>
      </w:r>
      <w:r w:rsidR="00B8528F" w:rsidRPr="00993862">
        <w:t>.”</w:t>
      </w:r>
    </w:p>
    <w:p w:rsidR="00726A9A" w:rsidRDefault="00726A9A" w:rsidP="00CC35CC">
      <w:pPr>
        <w:spacing w:after="120"/>
        <w:jc w:val="both"/>
      </w:pPr>
      <w:r w:rsidRPr="007165FB">
        <w:t xml:space="preserve">Si tratta di una modifica molto importante perché capace di evidenziare il ruolo che le aree protette svolgono per la tutela delle risorse naturali. Perciò riteniamo opportuno che, in una logica di ampliamento delle possibilità di ricercare risorse economiche, aggiuntive e non sostitutive del contributo statale che deve essere comunque garantito per i servizi universali che i parchi </w:t>
      </w:r>
      <w:r w:rsidRPr="007165FB">
        <w:lastRenderedPageBreak/>
        <w:t>forniscono alla collettività, si può favorire il ricorso dei parchi all’autofinanziamento “monetizzando” i beni senza prezzo ed i servizi ecosistemici che garantiscono e tutelano (acqua, ossigeno, biodiversità..). Tutto ciò può essere fatto con la garanzia di non mettere a rischio la tutela del territorio e delle sue risorse naturali, prevedendo il ricor</w:t>
      </w:r>
      <w:r w:rsidR="003D56F1" w:rsidRPr="007165FB">
        <w:t xml:space="preserve">so a questa possibilità per le </w:t>
      </w:r>
      <w:r w:rsidRPr="007165FB">
        <w:t xml:space="preserve">attività comprese nei parchi e previste dalla legge quadro, e per quelle già presenti e </w:t>
      </w:r>
      <w:r w:rsidR="003D56F1" w:rsidRPr="007165FB">
        <w:t>autorizzate nelle aree contigue e non per eventuali nuove attività da realizzare nei Parchi, nei quali, peraltro, sono espressamente vietate dalla legge</w:t>
      </w:r>
      <w:r w:rsidR="00D84B21" w:rsidRPr="007165FB">
        <w:t xml:space="preserve"> e tali devono rimanere</w:t>
      </w:r>
      <w:r w:rsidR="003D56F1" w:rsidRPr="007165FB">
        <w:t>.</w:t>
      </w:r>
    </w:p>
    <w:p w:rsidR="00C253CE" w:rsidRDefault="00C253CE" w:rsidP="0044171F"/>
    <w:p w:rsidR="00D4058C" w:rsidRDefault="00D4058C" w:rsidP="0044171F"/>
    <w:p w:rsidR="00D4058C" w:rsidRPr="00627E3D" w:rsidRDefault="00D4058C" w:rsidP="002F0975">
      <w:pPr>
        <w:numPr>
          <w:ilvl w:val="0"/>
          <w:numId w:val="7"/>
        </w:numPr>
        <w:ind w:left="284" w:hanging="284"/>
        <w:jc w:val="both"/>
        <w:rPr>
          <w:rFonts w:ascii="(Tipo di carattere testo asiati" w:hAnsi="(Tipo di carattere testo asiati"/>
          <w:b/>
          <w:sz w:val="28"/>
          <w:szCs w:val="28"/>
        </w:rPr>
      </w:pPr>
      <w:r w:rsidRPr="00627E3D">
        <w:rPr>
          <w:rFonts w:ascii="(Tipo di carattere testo asiati" w:hAnsi="(Tipo di carattere testo asiati"/>
          <w:b/>
          <w:sz w:val="28"/>
          <w:szCs w:val="28"/>
        </w:rPr>
        <w:t>Conclusioni</w:t>
      </w:r>
    </w:p>
    <w:p w:rsidR="00CC35CC" w:rsidRDefault="00CC35CC" w:rsidP="00D4058C">
      <w:pPr>
        <w:jc w:val="both"/>
      </w:pPr>
    </w:p>
    <w:p w:rsidR="00D4058C" w:rsidRPr="002944D3" w:rsidRDefault="00D4058C" w:rsidP="00E564F4">
      <w:pPr>
        <w:spacing w:after="120"/>
        <w:jc w:val="both"/>
      </w:pPr>
      <w:r w:rsidRPr="002944D3">
        <w:t xml:space="preserve">La rivoluzione energetica è già iniziata e intorno alle fonti rinnovabili si sta mettendo in moto un cambiamento che va ben oltre i temi energetici, investendo ambiti come quello dell’aumento del tasso di democrazia legato ad un sistema di produzione di energia meno centralizzato. </w:t>
      </w:r>
      <w:r w:rsidR="007165FB">
        <w:t>Oggi l</w:t>
      </w:r>
      <w:r w:rsidRPr="002944D3">
        <w:t>e rinnovabili, il risparmio e l’efficienza energetica rappresentano una concreta alternativa alle fonti fossili e al nucleare.</w:t>
      </w:r>
    </w:p>
    <w:p w:rsidR="00D4058C" w:rsidRPr="002944D3" w:rsidRDefault="00D4058C" w:rsidP="00E564F4">
      <w:pPr>
        <w:widowControl w:val="0"/>
        <w:spacing w:after="120"/>
        <w:jc w:val="both"/>
      </w:pPr>
      <w:r w:rsidRPr="002944D3">
        <w:t>Nei prossimi decenni i nuovi scenari energetici, anche in Basilicata, dovranno essere caratterizzati da un modello di generazione distribuita, vicina alla comunità e ai cittadini, che diventano così protagonisti delle scelte energetiche, mutando così i paradigmi del consumo che cominceranno finalmente a guardare alla qualità, alla conservazione e al risparmio. Le fonti di un siffatto modello energetico sono proprio quelle rinnovabili, che per definizione sono risorse diffuse e non monopolizzabili.</w:t>
      </w:r>
    </w:p>
    <w:p w:rsidR="00086419" w:rsidRDefault="00D4058C" w:rsidP="00E564F4">
      <w:pPr>
        <w:spacing w:after="120"/>
        <w:jc w:val="both"/>
      </w:pPr>
      <w:r w:rsidRPr="002944D3">
        <w:t>La politica energetica deve avere, quindi, come priorità l’impegno serio per promuovere il risparmio, incentivare lo sviluppo delle fonti rinnovabili, favorire la riconversion</w:t>
      </w:r>
      <w:r w:rsidR="00086419" w:rsidRPr="002944D3">
        <w:t>e degli impianti più inquinanti,</w:t>
      </w:r>
      <w:r w:rsidR="008820BC" w:rsidRPr="002944D3">
        <w:t xml:space="preserve"> </w:t>
      </w:r>
      <w:r w:rsidR="00086419" w:rsidRPr="002944D3">
        <w:t>ottenere l’abbattimento dell’impatto ambientale degli usi energetici e ridurre la dipendenza della</w:t>
      </w:r>
      <w:r w:rsidR="005D30A9" w:rsidRPr="002944D3">
        <w:t xml:space="preserve"> produzione dalle fonti fossili</w:t>
      </w:r>
      <w:r w:rsidR="00086419" w:rsidRPr="002944D3">
        <w:t>.</w:t>
      </w:r>
    </w:p>
    <w:p w:rsidR="009F4FFF" w:rsidRDefault="009F4FFF" w:rsidP="00E564F4">
      <w:pPr>
        <w:spacing w:after="120"/>
        <w:jc w:val="both"/>
      </w:pPr>
      <w:r w:rsidRPr="009F4FFF">
        <w:t xml:space="preserve">Purtroppo non sembra tener conto di questi fattori la Strategia energetica nazionale presentata negli scorsi mesi dal Ministro Passera, in cui uno dei pilastri è dedicato allo “Sviluppo sostenibile della produzione </w:t>
      </w:r>
      <w:r w:rsidR="00D06B08">
        <w:t xml:space="preserve">nazionale </w:t>
      </w:r>
      <w:r w:rsidRPr="009F4FFF">
        <w:t xml:space="preserve">di idrocarburi”.  Legambiente, come ha ribadito anche nelle osservazioni presentate al ministero </w:t>
      </w:r>
      <w:r w:rsidR="00D06B08">
        <w:t>dello Sviluppo Economico</w:t>
      </w:r>
      <w:r w:rsidRPr="009F4FFF">
        <w:t xml:space="preserve"> lo scorso 29 novembre, considera profondamente sbagliata la scelta di puntare ad aumentare la produzione di idrocarburi nazionali. Settore che già oggi gode di notevoli vantaggi a partire da royalties molto basse e da canoni di concessione irrisori. Se in Italia avessimo delle royalties del 50% (ma si dovrebbero alzare ancora) nel 2011 si saremmo trovati invece di un gettito di 209 milioni di Euro circa, con uno da 1.500 milioni, ci troviamo dunque di fronte a un sussidio indiretto di 1,3 miliardi di Euro. Se invece si aggiornassero i canoni con cifre più adeguate (almeno 1.000 Euro/kmq per la prospezione, 2 mila per le attività di ricerca fino a 16 mila per la coltivazione) le compagnie petrolifere potrebbero versare alle casse dello Stato oltre 300 milioni di euro rispetto all’attuale milione. Anche in questo caso, la “distrazione” nell’aggiornare i canoni determina sussidi indiretti pari a circa 300 milioni di Euro.</w:t>
      </w:r>
    </w:p>
    <w:p w:rsidR="009F4FFF" w:rsidRPr="002944D3" w:rsidRDefault="009F4FFF" w:rsidP="00E564F4">
      <w:pPr>
        <w:spacing w:after="120"/>
        <w:jc w:val="both"/>
      </w:pPr>
      <w:r w:rsidRPr="009F4FFF">
        <w:t>Una prospettiva che appare insensata non solo da un punto di vista ambientale ma anche rispetto agli obiettivi previsti dal documento di riduzione della dipendenza dall'estero e della bolletta energetica. Secondo le stime del ministero dello Sviluppo economico vi sarebbero nei nostri fondali marini 10,3 milioni di tonnellate di petrolio di riserve certe. Stando ai consumi attuali, coprirebbero il fabbisogno nazionale per sole 7 settimane. Non solo: anche attingendo al petrolio presente nel sottosuolo, concentrato soprattutto in Basilicata, il totale delle riserve certe nel nostro Paese verrebbe consumato in appena 13 mesi. Inoltre, in una economia di mercato e senza un intervento pubblico non vi è alcuna possibilità che a trarre beneficio dalle trivellazioni possano essere i consumatori italiani visto che quel gas e benzina sarebbe venduto allo stesso prezzo di quello proveniente da altre parti del mondo</w:t>
      </w:r>
      <w:r>
        <w:t>.</w:t>
      </w:r>
    </w:p>
    <w:p w:rsidR="00F92973" w:rsidRPr="002944D3" w:rsidRDefault="005D30A9" w:rsidP="00E564F4">
      <w:pPr>
        <w:pStyle w:val="Default"/>
        <w:spacing w:after="120"/>
        <w:jc w:val="both"/>
      </w:pPr>
      <w:r w:rsidRPr="002944D3">
        <w:lastRenderedPageBreak/>
        <w:t xml:space="preserve">La produzione di energia basata sugli idrocarburi, oltre ad essere una seria minaccia per l’ambiente, appartiene oramai al passato ed è per questo </w:t>
      </w:r>
      <w:r w:rsidR="006C1CBD">
        <w:t xml:space="preserve">che </w:t>
      </w:r>
      <w:r w:rsidR="009836B7" w:rsidRPr="002944D3">
        <w:t>Legambiente ribadisce il no deciso a nuove trivellazioni nel mare e nel territorio lucano, che garantirebbero solo utili per le aziende petrolifere con una grave ipoteca sul futuro delle aree oggetto dell’estrazione petrolifera.</w:t>
      </w:r>
    </w:p>
    <w:p w:rsidR="00087266" w:rsidRDefault="001F1F4F" w:rsidP="00E564F4">
      <w:pPr>
        <w:spacing w:after="120"/>
        <w:jc w:val="both"/>
      </w:pPr>
      <w:r w:rsidRPr="002944D3">
        <w:t>Le compagnie petrolifere hanno realizzato e realizzeranno</w:t>
      </w:r>
      <w:r w:rsidR="00D27A0C" w:rsidRPr="002944D3">
        <w:t>,</w:t>
      </w:r>
      <w:r w:rsidRPr="002944D3">
        <w:t xml:space="preserve"> </w:t>
      </w:r>
      <w:r w:rsidR="00D27A0C" w:rsidRPr="002944D3">
        <w:t xml:space="preserve">nei prossimi anni, </w:t>
      </w:r>
      <w:r w:rsidRPr="002944D3">
        <w:t>enormi profitti dal</w:t>
      </w:r>
      <w:r w:rsidR="00D27A0C" w:rsidRPr="002944D3">
        <w:t>le attività petrolifere già in essere</w:t>
      </w:r>
      <w:r w:rsidRPr="002944D3">
        <w:t xml:space="preserve"> </w:t>
      </w:r>
      <w:r w:rsidR="00D27A0C" w:rsidRPr="002944D3">
        <w:t>nella nostra regione</w:t>
      </w:r>
      <w:r w:rsidRPr="002944D3">
        <w:t xml:space="preserve"> ed è necessario che diano molto di più ai territori che li ospitano, in primo luogo garantendo trasparenza delle informazioni e sicurezza, per l’ambiente e i cittadini stessi, </w:t>
      </w:r>
      <w:r w:rsidR="00EB3C87" w:rsidRPr="002944D3">
        <w:t xml:space="preserve">(un primo segnale potrebbe essere l’avvio dell’eliminazione del trasporto su gomma del greggio) </w:t>
      </w:r>
      <w:r w:rsidRPr="002944D3">
        <w:t>ed in secondo luogo restituendo la ricchezza prodotta</w:t>
      </w:r>
      <w:r w:rsidR="0026651E" w:rsidRPr="002944D3">
        <w:t xml:space="preserve"> in termini di investimenti che guardino al futuro, </w:t>
      </w:r>
      <w:r w:rsidR="00D85D55" w:rsidRPr="002944D3">
        <w:t>non legati</w:t>
      </w:r>
      <w:r w:rsidR="0026651E" w:rsidRPr="002944D3">
        <w:t xml:space="preserve"> all’attività petrolifera, </w:t>
      </w:r>
      <w:r w:rsidR="00D85D55" w:rsidRPr="002944D3">
        <w:t xml:space="preserve">con attività di ricerca e produzione nel settore </w:t>
      </w:r>
      <w:r w:rsidR="0026651E" w:rsidRPr="002944D3">
        <w:t xml:space="preserve">delle energie rinnovabili </w:t>
      </w:r>
      <w:r w:rsidR="00D85D55" w:rsidRPr="002944D3">
        <w:t>e</w:t>
      </w:r>
      <w:r w:rsidR="0026651E" w:rsidRPr="002944D3">
        <w:t xml:space="preserve"> della chimica verde</w:t>
      </w:r>
      <w:r w:rsidR="00D85D55" w:rsidRPr="002944D3">
        <w:t>.</w:t>
      </w:r>
    </w:p>
    <w:p w:rsidR="00D022F7" w:rsidRDefault="009B049C" w:rsidP="00E564F4">
      <w:pPr>
        <w:spacing w:after="120"/>
        <w:jc w:val="both"/>
      </w:pPr>
      <w:r>
        <w:t xml:space="preserve">È il caso, inoltre, di aprire </w:t>
      </w:r>
      <w:r w:rsidR="006C7836">
        <w:t>un</w:t>
      </w:r>
      <w:r w:rsidR="00D022F7">
        <w:t xml:space="preserve">a </w:t>
      </w:r>
      <w:r w:rsidR="007E1B08">
        <w:t xml:space="preserve">fase di discussione per </w:t>
      </w:r>
      <w:r w:rsidR="007E1B08" w:rsidRPr="007E1B08">
        <w:t xml:space="preserve">una serena </w:t>
      </w:r>
      <w:r w:rsidR="00D022F7" w:rsidRPr="007E1B08">
        <w:t>valuta</w:t>
      </w:r>
      <w:r w:rsidR="006C7836" w:rsidRPr="007E1B08">
        <w:t>zione</w:t>
      </w:r>
      <w:r w:rsidR="00D022F7" w:rsidRPr="007E1B08">
        <w:t xml:space="preserve"> </w:t>
      </w:r>
      <w:r w:rsidR="007E1B08" w:rsidRPr="007E1B08">
        <w:t>de</w:t>
      </w:r>
      <w:r w:rsidR="006C7836" w:rsidRPr="007E1B08">
        <w:t>ll’utilizzo</w:t>
      </w:r>
      <w:r w:rsidR="006C7836">
        <w:t xml:space="preserve"> delle risorse finanziarie ottenute negli anni attraverso il meccanismo delle royalties e su</w:t>
      </w:r>
      <w:r w:rsidR="00D022F7">
        <w:t>gli effetti che tali investimenti hanno prodotto in termini di sviluppo</w:t>
      </w:r>
      <w:r w:rsidR="006C7836">
        <w:t xml:space="preserve"> del territorio, di occupazione e</w:t>
      </w:r>
      <w:r w:rsidR="00D022F7">
        <w:t xml:space="preserve"> in termini di realizzazioni di politiche per la sostenibilità che pure si ripromettevano di innescare.</w:t>
      </w:r>
    </w:p>
    <w:p w:rsidR="002B6FCD" w:rsidRDefault="002B6FCD" w:rsidP="00E564F4">
      <w:pPr>
        <w:spacing w:after="120"/>
        <w:jc w:val="both"/>
      </w:pPr>
      <w:r>
        <w:t>Legambiente sostiene da tempo che non si può continuare a utilizzare questo ingente flusso di finanziamento per continuare a perpetuare, a livello locale, il solito sistema della spesa pubblica tutto basato sul ciclo del cemento. Investimento economico di scarsa utilità per il territorio, in grado di dare risposte solo nell’immediato e non utile a costruire ipotesi di sviluppo che siano invece durevoli e, soprattutto, capaci di autosostenersi in assenza del flusso dei finanziamenti pubblici.</w:t>
      </w:r>
    </w:p>
    <w:p w:rsidR="00E564F4" w:rsidRDefault="00E564F4" w:rsidP="00E564F4">
      <w:pPr>
        <w:spacing w:after="120"/>
        <w:jc w:val="both"/>
      </w:pPr>
      <w:r>
        <w:t xml:space="preserve">Per realizzare tutto ciò è però necessario creare nuove condizioni di crescita, proprio coniugando conservazione e sviluppo, tutela e valorizzazione, puntando sulle attività tradizionali legate alla vocazione naturale dell’area </w:t>
      </w:r>
      <w:r w:rsidRPr="00E564F4">
        <w:t xml:space="preserve">(agroalimentare, sistema forestale, sistema ambientale, turismo), </w:t>
      </w:r>
      <w:r>
        <w:t>e sulla green economy, la via più innovativa e sostenibile del sistema industriale italiano, puntando a far prevalere gli investimenti in ricerca, qualità, innovaz</w:t>
      </w:r>
      <w:r w:rsidR="00B41E51">
        <w:t>ione e attenzione al territorio</w:t>
      </w:r>
      <w:r>
        <w:t xml:space="preserve"> e</w:t>
      </w:r>
      <w:r w:rsidR="00B41E51">
        <w:t>,</w:t>
      </w:r>
      <w:r>
        <w:t xml:space="preserve"> attraverso questi</w:t>
      </w:r>
      <w:r w:rsidR="00B41E51">
        <w:t>,</w:t>
      </w:r>
      <w:r>
        <w:t xml:space="preserve"> rilanciare un’occupazione qualificata e </w:t>
      </w:r>
      <w:r w:rsidR="00B41E51">
        <w:t>creare un</w:t>
      </w:r>
      <w:r>
        <w:t xml:space="preserve"> sistema produttivo più moderno e competitivo.</w:t>
      </w:r>
    </w:p>
    <w:sectPr w:rsidR="00E564F4" w:rsidSect="00C91CAC">
      <w:headerReference w:type="default" r:id="rId8"/>
      <w:footerReference w:type="even" r:id="rId9"/>
      <w:footerReference w:type="default" r:id="rId10"/>
      <w:pgSz w:w="11906" w:h="16838"/>
      <w:pgMar w:top="1417" w:right="1134" w:bottom="1134" w:left="1134" w:header="708" w:footer="708" w:gutter="0"/>
      <w:pgNumType w:start="2"/>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B0990" w:rsidRDefault="000B0990" w:rsidP="00D96193">
      <w:r>
        <w:separator/>
      </w:r>
    </w:p>
  </w:endnote>
  <w:endnote w:type="continuationSeparator" w:id="0">
    <w:p w:rsidR="000B0990" w:rsidRDefault="000B0990" w:rsidP="00D9619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po di carattere testo asiati">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Futura Book">
    <w:altName w:val="Futura Book"/>
    <w:panose1 w:val="00000000000000000000"/>
    <w:charset w:val="00"/>
    <w:family w:val="swiss"/>
    <w:notTrueType/>
    <w:pitch w:val="default"/>
    <w:sig w:usb0="00000003" w:usb1="00000000" w:usb2="00000000" w:usb3="00000000" w:csb0="00000001" w:csb1="00000000"/>
  </w:font>
  <w:font w:name="TimesNewRomanPSMT">
    <w:altName w:val="Times New Roman"/>
    <w:charset w:val="00"/>
    <w:family w:val="roman"/>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04" w:rsidRDefault="00F65704" w:rsidP="002107D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F65704" w:rsidRDefault="00F65704" w:rsidP="002107DE">
    <w:pPr>
      <w:pStyle w:val="Pidipa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5704" w:rsidRDefault="00F65704" w:rsidP="002107D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sidR="00031C94">
      <w:rPr>
        <w:rStyle w:val="Numeropagina"/>
        <w:noProof/>
      </w:rPr>
      <w:t>17</w:t>
    </w:r>
    <w:r>
      <w:rPr>
        <w:rStyle w:val="Numeropagina"/>
      </w:rPr>
      <w:fldChar w:fldCharType="end"/>
    </w:r>
  </w:p>
  <w:p w:rsidR="00F65704" w:rsidRDefault="00F65704" w:rsidP="002107DE">
    <w:pPr>
      <w:pStyle w:val="Pidipagina"/>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B0990" w:rsidRDefault="000B0990" w:rsidP="00D96193">
      <w:r>
        <w:separator/>
      </w:r>
    </w:p>
  </w:footnote>
  <w:footnote w:type="continuationSeparator" w:id="0">
    <w:p w:rsidR="000B0990" w:rsidRDefault="000B0990" w:rsidP="00D9619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D3B5D" w:rsidRDefault="00526316" w:rsidP="00526316">
    <w:pPr>
      <w:pStyle w:val="Intestazione"/>
      <w:jc w:val="center"/>
    </w:pPr>
    <w:r w:rsidRPr="00526316">
      <w:rPr>
        <w:b/>
      </w:rPr>
      <w:t>Dossier di Legambiente</w:t>
    </w:r>
    <w:r>
      <w:t xml:space="preserve"> – Petrolio in Val d’Agri</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1E7917"/>
    <w:multiLevelType w:val="hybridMultilevel"/>
    <w:tmpl w:val="882EDCB8"/>
    <w:lvl w:ilvl="0" w:tplc="5040F740">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
    <w:nsid w:val="146B02F6"/>
    <w:multiLevelType w:val="hybridMultilevel"/>
    <w:tmpl w:val="83DE4776"/>
    <w:lvl w:ilvl="0" w:tplc="5040F740">
      <w:start w:val="1"/>
      <w:numFmt w:val="bullet"/>
      <w:lvlText w:val="-"/>
      <w:lvlJc w:val="left"/>
      <w:pPr>
        <w:ind w:left="360" w:hanging="360"/>
      </w:pPr>
      <w:rPr>
        <w:rFonts w:ascii="Times New Roman" w:eastAsia="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2">
    <w:nsid w:val="2FDB222D"/>
    <w:multiLevelType w:val="hybridMultilevel"/>
    <w:tmpl w:val="9D0C6FF2"/>
    <w:lvl w:ilvl="0" w:tplc="2CE6DFBA">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nsid w:val="34236B16"/>
    <w:multiLevelType w:val="hybridMultilevel"/>
    <w:tmpl w:val="1A82553A"/>
    <w:lvl w:ilvl="0" w:tplc="5040F740">
      <w:start w:val="1"/>
      <w:numFmt w:val="bullet"/>
      <w:lvlText w:val="-"/>
      <w:lvlJc w:val="left"/>
      <w:pPr>
        <w:ind w:left="1080" w:hanging="360"/>
      </w:pPr>
      <w:rPr>
        <w:rFonts w:ascii="Times New Roman" w:eastAsia="Times New Roman" w:hAnsi="Times New Roman" w:cs="Times New Roman"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4">
    <w:nsid w:val="34F31815"/>
    <w:multiLevelType w:val="hybridMultilevel"/>
    <w:tmpl w:val="D046ABE2"/>
    <w:lvl w:ilvl="0" w:tplc="43A6C2F6">
      <w:start w:val="1"/>
      <w:numFmt w:val="decimal"/>
      <w:lvlText w:val="%1."/>
      <w:lvlJc w:val="left"/>
      <w:pPr>
        <w:ind w:left="720" w:hanging="360"/>
      </w:pPr>
      <w:rPr>
        <w:rFonts w:ascii="(Tipo di carattere testo asiati" w:hAnsi="(Tipo di carattere testo asiati"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nsid w:val="462662D8"/>
    <w:multiLevelType w:val="hybridMultilevel"/>
    <w:tmpl w:val="F9F25206"/>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6">
    <w:nsid w:val="50941264"/>
    <w:multiLevelType w:val="hybridMultilevel"/>
    <w:tmpl w:val="38243D8E"/>
    <w:lvl w:ilvl="0" w:tplc="F8A0D114">
      <w:start w:val="2"/>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nsid w:val="6D983039"/>
    <w:multiLevelType w:val="hybridMultilevel"/>
    <w:tmpl w:val="71621EC0"/>
    <w:lvl w:ilvl="0" w:tplc="839A1482">
      <w:start w:val="1"/>
      <w:numFmt w:val="bullet"/>
      <w:lvlText w:val=""/>
      <w:lvlJc w:val="left"/>
      <w:pPr>
        <w:tabs>
          <w:tab w:val="num" w:pos="360"/>
        </w:tabs>
        <w:ind w:left="340" w:hanging="340"/>
      </w:pPr>
      <w:rPr>
        <w:rFonts w:ascii="Symbol" w:hAnsi="Symbol" w:cs="Symbol" w:hint="default"/>
      </w:rPr>
    </w:lvl>
    <w:lvl w:ilvl="1" w:tplc="04100003">
      <w:start w:val="1"/>
      <w:numFmt w:val="bullet"/>
      <w:lvlText w:val="o"/>
      <w:lvlJc w:val="left"/>
      <w:pPr>
        <w:tabs>
          <w:tab w:val="num" w:pos="1440"/>
        </w:tabs>
        <w:ind w:left="1440" w:hanging="360"/>
      </w:pPr>
      <w:rPr>
        <w:rFonts w:ascii="Courier New" w:hAnsi="Courier New" w:cs="Courier New" w:hint="default"/>
      </w:rPr>
    </w:lvl>
    <w:lvl w:ilvl="2" w:tplc="04100005">
      <w:start w:val="1"/>
      <w:numFmt w:val="bullet"/>
      <w:lvlText w:val=""/>
      <w:lvlJc w:val="left"/>
      <w:pPr>
        <w:tabs>
          <w:tab w:val="num" w:pos="2160"/>
        </w:tabs>
        <w:ind w:left="2160" w:hanging="360"/>
      </w:pPr>
      <w:rPr>
        <w:rFonts w:ascii="Wingdings" w:hAnsi="Wingdings" w:cs="Wingdings" w:hint="default"/>
      </w:rPr>
    </w:lvl>
    <w:lvl w:ilvl="3" w:tplc="04100001">
      <w:start w:val="1"/>
      <w:numFmt w:val="bullet"/>
      <w:lvlText w:val=""/>
      <w:lvlJc w:val="left"/>
      <w:pPr>
        <w:tabs>
          <w:tab w:val="num" w:pos="2880"/>
        </w:tabs>
        <w:ind w:left="2880" w:hanging="360"/>
      </w:pPr>
      <w:rPr>
        <w:rFonts w:ascii="Symbol" w:hAnsi="Symbol" w:cs="Symbol" w:hint="default"/>
      </w:rPr>
    </w:lvl>
    <w:lvl w:ilvl="4" w:tplc="04100003">
      <w:start w:val="1"/>
      <w:numFmt w:val="bullet"/>
      <w:lvlText w:val="o"/>
      <w:lvlJc w:val="left"/>
      <w:pPr>
        <w:tabs>
          <w:tab w:val="num" w:pos="3600"/>
        </w:tabs>
        <w:ind w:left="3600" w:hanging="360"/>
      </w:pPr>
      <w:rPr>
        <w:rFonts w:ascii="Courier New" w:hAnsi="Courier New" w:cs="Courier New" w:hint="default"/>
      </w:rPr>
    </w:lvl>
    <w:lvl w:ilvl="5" w:tplc="04100005">
      <w:start w:val="1"/>
      <w:numFmt w:val="bullet"/>
      <w:lvlText w:val=""/>
      <w:lvlJc w:val="left"/>
      <w:pPr>
        <w:tabs>
          <w:tab w:val="num" w:pos="4320"/>
        </w:tabs>
        <w:ind w:left="4320" w:hanging="360"/>
      </w:pPr>
      <w:rPr>
        <w:rFonts w:ascii="Wingdings" w:hAnsi="Wingdings" w:cs="Wingdings" w:hint="default"/>
      </w:rPr>
    </w:lvl>
    <w:lvl w:ilvl="6" w:tplc="04100001">
      <w:start w:val="1"/>
      <w:numFmt w:val="bullet"/>
      <w:lvlText w:val=""/>
      <w:lvlJc w:val="left"/>
      <w:pPr>
        <w:tabs>
          <w:tab w:val="num" w:pos="5040"/>
        </w:tabs>
        <w:ind w:left="5040" w:hanging="360"/>
      </w:pPr>
      <w:rPr>
        <w:rFonts w:ascii="Symbol" w:hAnsi="Symbol" w:cs="Symbol" w:hint="default"/>
      </w:rPr>
    </w:lvl>
    <w:lvl w:ilvl="7" w:tplc="04100003">
      <w:start w:val="1"/>
      <w:numFmt w:val="bullet"/>
      <w:lvlText w:val="o"/>
      <w:lvlJc w:val="left"/>
      <w:pPr>
        <w:tabs>
          <w:tab w:val="num" w:pos="5760"/>
        </w:tabs>
        <w:ind w:left="5760" w:hanging="360"/>
      </w:pPr>
      <w:rPr>
        <w:rFonts w:ascii="Courier New" w:hAnsi="Courier New" w:cs="Courier New" w:hint="default"/>
      </w:rPr>
    </w:lvl>
    <w:lvl w:ilvl="8" w:tplc="04100005">
      <w:start w:val="1"/>
      <w:numFmt w:val="bullet"/>
      <w:lvlText w:val=""/>
      <w:lvlJc w:val="left"/>
      <w:pPr>
        <w:tabs>
          <w:tab w:val="num" w:pos="6480"/>
        </w:tabs>
        <w:ind w:left="6480" w:hanging="360"/>
      </w:pPr>
      <w:rPr>
        <w:rFonts w:ascii="Wingdings" w:hAnsi="Wingdings" w:cs="Wingdings" w:hint="default"/>
      </w:rPr>
    </w:lvl>
  </w:abstractNum>
  <w:num w:numId="1">
    <w:abstractNumId w:val="7"/>
  </w:num>
  <w:num w:numId="2">
    <w:abstractNumId w:val="5"/>
  </w:num>
  <w:num w:numId="3">
    <w:abstractNumId w:val="3"/>
  </w:num>
  <w:num w:numId="4">
    <w:abstractNumId w:val="0"/>
  </w:num>
  <w:num w:numId="5">
    <w:abstractNumId w:val="1"/>
  </w:num>
  <w:num w:numId="6">
    <w:abstractNumId w:val="2"/>
  </w:num>
  <w:num w:numId="7">
    <w:abstractNumId w:val="6"/>
  </w:num>
  <w:num w:numId="8">
    <w:abstractNumId w:val="4"/>
  </w:num>
  <w:numIdMacAtCleanup w:val="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09"/>
  <w:hyphenationZone w:val="283"/>
  <w:drawingGridHorizontalSpacing w:val="120"/>
  <w:displayHorizontalDrawingGridEvery w:val="2"/>
  <w:characterSpacingControl w:val="doNotCompress"/>
  <w:footnotePr>
    <w:footnote w:id="-1"/>
    <w:footnote w:id="0"/>
  </w:footnotePr>
  <w:endnotePr>
    <w:endnote w:id="-1"/>
    <w:endnote w:id="0"/>
  </w:endnotePr>
  <w:compat/>
  <w:rsids>
    <w:rsidRoot w:val="00C253CE"/>
    <w:rsid w:val="00011CEE"/>
    <w:rsid w:val="000155A4"/>
    <w:rsid w:val="00031C94"/>
    <w:rsid w:val="000324AC"/>
    <w:rsid w:val="00056512"/>
    <w:rsid w:val="00057993"/>
    <w:rsid w:val="00082A0A"/>
    <w:rsid w:val="00086419"/>
    <w:rsid w:val="00087266"/>
    <w:rsid w:val="000A069A"/>
    <w:rsid w:val="000A1F50"/>
    <w:rsid w:val="000B0990"/>
    <w:rsid w:val="000B3FCC"/>
    <w:rsid w:val="000C1461"/>
    <w:rsid w:val="000D338B"/>
    <w:rsid w:val="000D7109"/>
    <w:rsid w:val="000E22A4"/>
    <w:rsid w:val="000E2D78"/>
    <w:rsid w:val="000F54CD"/>
    <w:rsid w:val="00101BED"/>
    <w:rsid w:val="00110BB3"/>
    <w:rsid w:val="001264AC"/>
    <w:rsid w:val="001303EB"/>
    <w:rsid w:val="0013301E"/>
    <w:rsid w:val="00134F7C"/>
    <w:rsid w:val="00140F81"/>
    <w:rsid w:val="00160909"/>
    <w:rsid w:val="0016386B"/>
    <w:rsid w:val="00175109"/>
    <w:rsid w:val="00175BF1"/>
    <w:rsid w:val="00177499"/>
    <w:rsid w:val="001B01BA"/>
    <w:rsid w:val="001B216A"/>
    <w:rsid w:val="001B4147"/>
    <w:rsid w:val="001B56DD"/>
    <w:rsid w:val="001B5E1E"/>
    <w:rsid w:val="001B6A26"/>
    <w:rsid w:val="001D2B15"/>
    <w:rsid w:val="001F1F4F"/>
    <w:rsid w:val="001F6D14"/>
    <w:rsid w:val="002014B6"/>
    <w:rsid w:val="002052B0"/>
    <w:rsid w:val="00205CC4"/>
    <w:rsid w:val="00206425"/>
    <w:rsid w:val="002107DE"/>
    <w:rsid w:val="00216694"/>
    <w:rsid w:val="00221497"/>
    <w:rsid w:val="002346AB"/>
    <w:rsid w:val="00236B08"/>
    <w:rsid w:val="002407A1"/>
    <w:rsid w:val="0024578D"/>
    <w:rsid w:val="00246A39"/>
    <w:rsid w:val="002552F4"/>
    <w:rsid w:val="00261E31"/>
    <w:rsid w:val="00264CAF"/>
    <w:rsid w:val="0026651E"/>
    <w:rsid w:val="00271DE4"/>
    <w:rsid w:val="00273514"/>
    <w:rsid w:val="002769C2"/>
    <w:rsid w:val="0028211A"/>
    <w:rsid w:val="002944D3"/>
    <w:rsid w:val="002B30A9"/>
    <w:rsid w:val="002B6FCD"/>
    <w:rsid w:val="002C0BB0"/>
    <w:rsid w:val="002C18E5"/>
    <w:rsid w:val="002C3906"/>
    <w:rsid w:val="002D3B5D"/>
    <w:rsid w:val="002F0975"/>
    <w:rsid w:val="00303E0B"/>
    <w:rsid w:val="003060AD"/>
    <w:rsid w:val="00331CF8"/>
    <w:rsid w:val="00334041"/>
    <w:rsid w:val="003340B3"/>
    <w:rsid w:val="00343945"/>
    <w:rsid w:val="003501CD"/>
    <w:rsid w:val="00355D7E"/>
    <w:rsid w:val="003729E0"/>
    <w:rsid w:val="003915D4"/>
    <w:rsid w:val="003B292A"/>
    <w:rsid w:val="003B5A8E"/>
    <w:rsid w:val="003C2484"/>
    <w:rsid w:val="003D2065"/>
    <w:rsid w:val="003D56F1"/>
    <w:rsid w:val="003E2956"/>
    <w:rsid w:val="004036D7"/>
    <w:rsid w:val="00407CE5"/>
    <w:rsid w:val="00411A12"/>
    <w:rsid w:val="004129D7"/>
    <w:rsid w:val="00414815"/>
    <w:rsid w:val="004201C1"/>
    <w:rsid w:val="00430CF1"/>
    <w:rsid w:val="0044171F"/>
    <w:rsid w:val="004449AE"/>
    <w:rsid w:val="00462342"/>
    <w:rsid w:val="004B4A7E"/>
    <w:rsid w:val="004C2AE2"/>
    <w:rsid w:val="004C71D6"/>
    <w:rsid w:val="004E2A09"/>
    <w:rsid w:val="004E5888"/>
    <w:rsid w:val="004F3ED6"/>
    <w:rsid w:val="0050232D"/>
    <w:rsid w:val="00511C89"/>
    <w:rsid w:val="00517CC9"/>
    <w:rsid w:val="005259C4"/>
    <w:rsid w:val="00526316"/>
    <w:rsid w:val="005263F3"/>
    <w:rsid w:val="00543756"/>
    <w:rsid w:val="005450C9"/>
    <w:rsid w:val="00551236"/>
    <w:rsid w:val="0056520C"/>
    <w:rsid w:val="005A5C4D"/>
    <w:rsid w:val="005D30A9"/>
    <w:rsid w:val="005E4964"/>
    <w:rsid w:val="005E732E"/>
    <w:rsid w:val="005F3198"/>
    <w:rsid w:val="005F6E3B"/>
    <w:rsid w:val="006078B8"/>
    <w:rsid w:val="00610AED"/>
    <w:rsid w:val="006145E6"/>
    <w:rsid w:val="0062089A"/>
    <w:rsid w:val="00623828"/>
    <w:rsid w:val="00626420"/>
    <w:rsid w:val="00627E3D"/>
    <w:rsid w:val="006324AB"/>
    <w:rsid w:val="00640078"/>
    <w:rsid w:val="00640F05"/>
    <w:rsid w:val="0064183B"/>
    <w:rsid w:val="006536B7"/>
    <w:rsid w:val="00656B2E"/>
    <w:rsid w:val="00660B6A"/>
    <w:rsid w:val="00663881"/>
    <w:rsid w:val="0067772F"/>
    <w:rsid w:val="006847B5"/>
    <w:rsid w:val="00692A86"/>
    <w:rsid w:val="006A02E7"/>
    <w:rsid w:val="006A1651"/>
    <w:rsid w:val="006A6579"/>
    <w:rsid w:val="006B21EA"/>
    <w:rsid w:val="006C1CBD"/>
    <w:rsid w:val="006C30E5"/>
    <w:rsid w:val="006C409D"/>
    <w:rsid w:val="006C7836"/>
    <w:rsid w:val="006C7FA3"/>
    <w:rsid w:val="006E7C82"/>
    <w:rsid w:val="006F322A"/>
    <w:rsid w:val="00715B11"/>
    <w:rsid w:val="007165FB"/>
    <w:rsid w:val="0072193C"/>
    <w:rsid w:val="0072282C"/>
    <w:rsid w:val="00726A9A"/>
    <w:rsid w:val="00732AF2"/>
    <w:rsid w:val="00736DD2"/>
    <w:rsid w:val="00743C23"/>
    <w:rsid w:val="00744E01"/>
    <w:rsid w:val="007452C8"/>
    <w:rsid w:val="00746372"/>
    <w:rsid w:val="007543E2"/>
    <w:rsid w:val="00757111"/>
    <w:rsid w:val="0076127B"/>
    <w:rsid w:val="00771B60"/>
    <w:rsid w:val="00772F0D"/>
    <w:rsid w:val="00773878"/>
    <w:rsid w:val="00790563"/>
    <w:rsid w:val="007967B8"/>
    <w:rsid w:val="007977C5"/>
    <w:rsid w:val="007A0B53"/>
    <w:rsid w:val="007B2240"/>
    <w:rsid w:val="007B4162"/>
    <w:rsid w:val="007D01F0"/>
    <w:rsid w:val="007E1B08"/>
    <w:rsid w:val="007E2AF1"/>
    <w:rsid w:val="007E2C10"/>
    <w:rsid w:val="00800292"/>
    <w:rsid w:val="008241DC"/>
    <w:rsid w:val="00826582"/>
    <w:rsid w:val="00827824"/>
    <w:rsid w:val="00830FCF"/>
    <w:rsid w:val="008376DA"/>
    <w:rsid w:val="00843E34"/>
    <w:rsid w:val="008478D6"/>
    <w:rsid w:val="00864794"/>
    <w:rsid w:val="0087586F"/>
    <w:rsid w:val="008820BC"/>
    <w:rsid w:val="00882709"/>
    <w:rsid w:val="008859C3"/>
    <w:rsid w:val="0089740E"/>
    <w:rsid w:val="008976B0"/>
    <w:rsid w:val="008B459E"/>
    <w:rsid w:val="008D4AEB"/>
    <w:rsid w:val="008E72E4"/>
    <w:rsid w:val="00901D97"/>
    <w:rsid w:val="009025FD"/>
    <w:rsid w:val="00904515"/>
    <w:rsid w:val="00904F7A"/>
    <w:rsid w:val="009130FC"/>
    <w:rsid w:val="009178AE"/>
    <w:rsid w:val="00945E69"/>
    <w:rsid w:val="00953AB6"/>
    <w:rsid w:val="00953F7B"/>
    <w:rsid w:val="00954A62"/>
    <w:rsid w:val="00956563"/>
    <w:rsid w:val="0095661D"/>
    <w:rsid w:val="0095672B"/>
    <w:rsid w:val="009660C4"/>
    <w:rsid w:val="009729D6"/>
    <w:rsid w:val="00975CCF"/>
    <w:rsid w:val="009836B7"/>
    <w:rsid w:val="00983AA7"/>
    <w:rsid w:val="00986112"/>
    <w:rsid w:val="00993862"/>
    <w:rsid w:val="009A0C31"/>
    <w:rsid w:val="009A5C88"/>
    <w:rsid w:val="009B049C"/>
    <w:rsid w:val="009B3DE4"/>
    <w:rsid w:val="009B79FF"/>
    <w:rsid w:val="009D3E08"/>
    <w:rsid w:val="009D7FEB"/>
    <w:rsid w:val="009F054D"/>
    <w:rsid w:val="009F0C2F"/>
    <w:rsid w:val="009F4FFF"/>
    <w:rsid w:val="00A22640"/>
    <w:rsid w:val="00A24953"/>
    <w:rsid w:val="00A27780"/>
    <w:rsid w:val="00A43191"/>
    <w:rsid w:val="00A4730C"/>
    <w:rsid w:val="00A51E65"/>
    <w:rsid w:val="00A542BC"/>
    <w:rsid w:val="00A62831"/>
    <w:rsid w:val="00A64432"/>
    <w:rsid w:val="00A65E98"/>
    <w:rsid w:val="00A66A56"/>
    <w:rsid w:val="00A700AB"/>
    <w:rsid w:val="00A871C3"/>
    <w:rsid w:val="00A95994"/>
    <w:rsid w:val="00A9713D"/>
    <w:rsid w:val="00AB731C"/>
    <w:rsid w:val="00AD25EB"/>
    <w:rsid w:val="00AD2D5C"/>
    <w:rsid w:val="00AD53A3"/>
    <w:rsid w:val="00AD60B3"/>
    <w:rsid w:val="00AE23D4"/>
    <w:rsid w:val="00AE2C98"/>
    <w:rsid w:val="00B15E62"/>
    <w:rsid w:val="00B15ECF"/>
    <w:rsid w:val="00B20F72"/>
    <w:rsid w:val="00B26EAC"/>
    <w:rsid w:val="00B41E51"/>
    <w:rsid w:val="00B4509D"/>
    <w:rsid w:val="00B47891"/>
    <w:rsid w:val="00B47ACC"/>
    <w:rsid w:val="00B73084"/>
    <w:rsid w:val="00B82507"/>
    <w:rsid w:val="00B8528F"/>
    <w:rsid w:val="00B960E6"/>
    <w:rsid w:val="00BA4B67"/>
    <w:rsid w:val="00BA7EB0"/>
    <w:rsid w:val="00BA7FF9"/>
    <w:rsid w:val="00BB461B"/>
    <w:rsid w:val="00BC1D4D"/>
    <w:rsid w:val="00BC732F"/>
    <w:rsid w:val="00BD7F70"/>
    <w:rsid w:val="00BE61F4"/>
    <w:rsid w:val="00BF1D1C"/>
    <w:rsid w:val="00C06CBC"/>
    <w:rsid w:val="00C11678"/>
    <w:rsid w:val="00C11BD0"/>
    <w:rsid w:val="00C150EE"/>
    <w:rsid w:val="00C15E74"/>
    <w:rsid w:val="00C253CE"/>
    <w:rsid w:val="00C25720"/>
    <w:rsid w:val="00C2736B"/>
    <w:rsid w:val="00C427F2"/>
    <w:rsid w:val="00C450A9"/>
    <w:rsid w:val="00C45F64"/>
    <w:rsid w:val="00C50F5C"/>
    <w:rsid w:val="00C574B6"/>
    <w:rsid w:val="00C577E8"/>
    <w:rsid w:val="00C63CCE"/>
    <w:rsid w:val="00C72A7B"/>
    <w:rsid w:val="00C74263"/>
    <w:rsid w:val="00C81547"/>
    <w:rsid w:val="00C8190D"/>
    <w:rsid w:val="00C86502"/>
    <w:rsid w:val="00C91CAC"/>
    <w:rsid w:val="00C93BA1"/>
    <w:rsid w:val="00C95340"/>
    <w:rsid w:val="00CA48BD"/>
    <w:rsid w:val="00CA654C"/>
    <w:rsid w:val="00CA7826"/>
    <w:rsid w:val="00CC05AB"/>
    <w:rsid w:val="00CC35CC"/>
    <w:rsid w:val="00CD6CDD"/>
    <w:rsid w:val="00CE1A09"/>
    <w:rsid w:val="00CF6DCE"/>
    <w:rsid w:val="00D022F7"/>
    <w:rsid w:val="00D06B08"/>
    <w:rsid w:val="00D10F5E"/>
    <w:rsid w:val="00D17411"/>
    <w:rsid w:val="00D23E85"/>
    <w:rsid w:val="00D25555"/>
    <w:rsid w:val="00D26A01"/>
    <w:rsid w:val="00D27A0C"/>
    <w:rsid w:val="00D27AEE"/>
    <w:rsid w:val="00D32355"/>
    <w:rsid w:val="00D371D9"/>
    <w:rsid w:val="00D4058C"/>
    <w:rsid w:val="00D5442A"/>
    <w:rsid w:val="00D6055B"/>
    <w:rsid w:val="00D61DA1"/>
    <w:rsid w:val="00D70C7C"/>
    <w:rsid w:val="00D70F24"/>
    <w:rsid w:val="00D76DD2"/>
    <w:rsid w:val="00D81E14"/>
    <w:rsid w:val="00D82CF0"/>
    <w:rsid w:val="00D847CA"/>
    <w:rsid w:val="00D84B21"/>
    <w:rsid w:val="00D85D55"/>
    <w:rsid w:val="00D93A71"/>
    <w:rsid w:val="00D96193"/>
    <w:rsid w:val="00DA35C2"/>
    <w:rsid w:val="00DA72E6"/>
    <w:rsid w:val="00DB5856"/>
    <w:rsid w:val="00DD4613"/>
    <w:rsid w:val="00DE1666"/>
    <w:rsid w:val="00DE69F7"/>
    <w:rsid w:val="00DF38FE"/>
    <w:rsid w:val="00E06359"/>
    <w:rsid w:val="00E120BD"/>
    <w:rsid w:val="00E12B89"/>
    <w:rsid w:val="00E2611E"/>
    <w:rsid w:val="00E268C8"/>
    <w:rsid w:val="00E27989"/>
    <w:rsid w:val="00E33117"/>
    <w:rsid w:val="00E33AF5"/>
    <w:rsid w:val="00E37B5D"/>
    <w:rsid w:val="00E42B8F"/>
    <w:rsid w:val="00E509DF"/>
    <w:rsid w:val="00E51A51"/>
    <w:rsid w:val="00E564F4"/>
    <w:rsid w:val="00E63E94"/>
    <w:rsid w:val="00E64FCE"/>
    <w:rsid w:val="00E664E7"/>
    <w:rsid w:val="00E673B0"/>
    <w:rsid w:val="00E71C7B"/>
    <w:rsid w:val="00E7675C"/>
    <w:rsid w:val="00E80E48"/>
    <w:rsid w:val="00E92330"/>
    <w:rsid w:val="00E9653B"/>
    <w:rsid w:val="00EA076E"/>
    <w:rsid w:val="00EA1DC6"/>
    <w:rsid w:val="00EB3C87"/>
    <w:rsid w:val="00EC57AA"/>
    <w:rsid w:val="00EC74A8"/>
    <w:rsid w:val="00ED41E8"/>
    <w:rsid w:val="00ED677D"/>
    <w:rsid w:val="00ED6787"/>
    <w:rsid w:val="00EE01B1"/>
    <w:rsid w:val="00EE5040"/>
    <w:rsid w:val="00EF3A51"/>
    <w:rsid w:val="00EF506E"/>
    <w:rsid w:val="00EF5E6D"/>
    <w:rsid w:val="00EF690B"/>
    <w:rsid w:val="00F03C14"/>
    <w:rsid w:val="00F05D55"/>
    <w:rsid w:val="00F10AB3"/>
    <w:rsid w:val="00F10FCD"/>
    <w:rsid w:val="00F11D58"/>
    <w:rsid w:val="00F21254"/>
    <w:rsid w:val="00F27202"/>
    <w:rsid w:val="00F27FE3"/>
    <w:rsid w:val="00F35B3A"/>
    <w:rsid w:val="00F4034D"/>
    <w:rsid w:val="00F50988"/>
    <w:rsid w:val="00F53EE9"/>
    <w:rsid w:val="00F5573B"/>
    <w:rsid w:val="00F60497"/>
    <w:rsid w:val="00F65704"/>
    <w:rsid w:val="00F844AF"/>
    <w:rsid w:val="00F91E0C"/>
    <w:rsid w:val="00F92973"/>
    <w:rsid w:val="00FA29BE"/>
    <w:rsid w:val="00FB5B23"/>
    <w:rsid w:val="00FC746A"/>
    <w:rsid w:val="00FD02B6"/>
    <w:rsid w:val="00FD5AA4"/>
    <w:rsid w:val="00FD7AD0"/>
    <w:rsid w:val="00FE68FA"/>
    <w:rsid w:val="00FF698E"/>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caption" w:semiHidden="1" w:unhideWhenUsed="1" w:qFormat="1"/>
    <w:lsdException w:name="footnote reference" w:uiPriority="99"/>
    <w:lsdException w:name="Title" w:qFormat="1"/>
    <w:lsdException w:name="Subtitle" w:qFormat="1"/>
    <w:lsdException w:name="Strong"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paragraph" w:styleId="Titolo1">
    <w:name w:val="heading 1"/>
    <w:basedOn w:val="Normale"/>
    <w:qFormat/>
    <w:rsid w:val="00827824"/>
    <w:pPr>
      <w:spacing w:before="100" w:beforeAutospacing="1" w:after="100" w:afterAutospacing="1"/>
      <w:outlineLvl w:val="0"/>
    </w:pPr>
    <w:rPr>
      <w:b/>
      <w:bCs/>
      <w:kern w:val="36"/>
      <w:sz w:val="48"/>
      <w:szCs w:val="48"/>
    </w:rPr>
  </w:style>
  <w:style w:type="paragraph" w:styleId="Titolo2">
    <w:name w:val="heading 2"/>
    <w:basedOn w:val="Normale"/>
    <w:qFormat/>
    <w:rsid w:val="00827824"/>
    <w:pPr>
      <w:spacing w:before="100" w:beforeAutospacing="1" w:after="100" w:afterAutospacing="1"/>
      <w:outlineLvl w:val="1"/>
    </w:pPr>
    <w:rPr>
      <w:b/>
      <w:bCs/>
      <w:sz w:val="36"/>
      <w:szCs w:val="36"/>
    </w:rPr>
  </w:style>
  <w:style w:type="paragraph" w:styleId="Titolo3">
    <w:name w:val="heading 3"/>
    <w:basedOn w:val="Normale"/>
    <w:next w:val="Normale"/>
    <w:qFormat/>
    <w:rsid w:val="00355D7E"/>
    <w:pPr>
      <w:keepNext/>
      <w:spacing w:before="240" w:after="60"/>
      <w:outlineLvl w:val="2"/>
    </w:pPr>
    <w:rPr>
      <w:rFonts w:ascii="Arial" w:hAnsi="Arial" w:cs="Arial"/>
      <w:b/>
      <w:bCs/>
      <w:sz w:val="26"/>
      <w:szCs w:val="26"/>
    </w:rPr>
  </w:style>
  <w:style w:type="paragraph" w:styleId="Titolo6">
    <w:name w:val="heading 6"/>
    <w:basedOn w:val="Normale"/>
    <w:next w:val="Normale"/>
    <w:qFormat/>
    <w:rsid w:val="00E673B0"/>
    <w:pPr>
      <w:spacing w:before="240" w:after="60"/>
      <w:outlineLvl w:val="5"/>
    </w:pPr>
    <w:rPr>
      <w:b/>
      <w:bCs/>
      <w:sz w:val="22"/>
      <w:szCs w:val="22"/>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 w:type="paragraph" w:styleId="NormaleWeb">
    <w:name w:val="Normal (Web)"/>
    <w:basedOn w:val="Normale"/>
    <w:uiPriority w:val="99"/>
    <w:rsid w:val="00C253CE"/>
    <w:pPr>
      <w:spacing w:before="100" w:beforeAutospacing="1" w:after="100" w:afterAutospacing="1"/>
    </w:pPr>
  </w:style>
  <w:style w:type="character" w:styleId="Enfasigrassetto">
    <w:name w:val="Strong"/>
    <w:qFormat/>
    <w:rsid w:val="00C253CE"/>
    <w:rPr>
      <w:b/>
      <w:bCs/>
    </w:rPr>
  </w:style>
  <w:style w:type="character" w:styleId="Enfasicorsivo">
    <w:name w:val="Emphasis"/>
    <w:uiPriority w:val="20"/>
    <w:qFormat/>
    <w:rsid w:val="00C253CE"/>
    <w:rPr>
      <w:i/>
      <w:iCs/>
    </w:rPr>
  </w:style>
  <w:style w:type="character" w:styleId="Collegamentoipertestuale">
    <w:name w:val="Hyperlink"/>
    <w:rsid w:val="00827824"/>
    <w:rPr>
      <w:color w:val="0000FF"/>
      <w:u w:val="single"/>
    </w:rPr>
  </w:style>
  <w:style w:type="character" w:customStyle="1" w:styleId="noarchive">
    <w:name w:val="noarchive"/>
    <w:basedOn w:val="Carpredefinitoparagrafo"/>
    <w:rsid w:val="00827824"/>
  </w:style>
  <w:style w:type="character" w:customStyle="1" w:styleId="toctoggle3">
    <w:name w:val="toctoggle3"/>
    <w:rsid w:val="00827824"/>
    <w:rPr>
      <w:sz w:val="23"/>
      <w:szCs w:val="23"/>
    </w:rPr>
  </w:style>
  <w:style w:type="character" w:customStyle="1" w:styleId="tocnumber">
    <w:name w:val="tocnumber"/>
    <w:basedOn w:val="Carpredefinitoparagrafo"/>
    <w:rsid w:val="00827824"/>
  </w:style>
  <w:style w:type="character" w:customStyle="1" w:styleId="toctext">
    <w:name w:val="toctext"/>
    <w:basedOn w:val="Carpredefinitoparagrafo"/>
    <w:rsid w:val="00827824"/>
  </w:style>
  <w:style w:type="character" w:customStyle="1" w:styleId="mw-headline">
    <w:name w:val="mw-headline"/>
    <w:basedOn w:val="Carpredefinitoparagrafo"/>
    <w:rsid w:val="00827824"/>
  </w:style>
  <w:style w:type="character" w:customStyle="1" w:styleId="editsection">
    <w:name w:val="editsection"/>
    <w:basedOn w:val="Carpredefinitoparagrafo"/>
    <w:rsid w:val="00827824"/>
  </w:style>
  <w:style w:type="character" w:styleId="MacchinadascrivereHTML">
    <w:name w:val="HTML Typewriter"/>
    <w:rsid w:val="00827824"/>
    <w:rPr>
      <w:rFonts w:ascii="Courier New" w:eastAsia="Times New Roman" w:hAnsi="Courier New" w:cs="Courier New"/>
      <w:sz w:val="20"/>
      <w:szCs w:val="20"/>
    </w:rPr>
  </w:style>
  <w:style w:type="character" w:customStyle="1" w:styleId="reference-text">
    <w:name w:val="reference-text"/>
    <w:basedOn w:val="Carpredefinitoparagrafo"/>
    <w:rsid w:val="00827824"/>
  </w:style>
  <w:style w:type="character" w:customStyle="1" w:styleId="plainlinks">
    <w:name w:val="plainlinks"/>
    <w:basedOn w:val="Carpredefinitoparagrafo"/>
    <w:rsid w:val="00827824"/>
  </w:style>
  <w:style w:type="paragraph" w:customStyle="1" w:styleId="imalignleft">
    <w:name w:val="imalign_left"/>
    <w:basedOn w:val="Normale"/>
    <w:rsid w:val="00CC05AB"/>
  </w:style>
  <w:style w:type="paragraph" w:customStyle="1" w:styleId="imalignjustify">
    <w:name w:val="imalign_justify"/>
    <w:basedOn w:val="Normale"/>
    <w:rsid w:val="00CC05AB"/>
    <w:pPr>
      <w:jc w:val="both"/>
    </w:pPr>
  </w:style>
  <w:style w:type="character" w:customStyle="1" w:styleId="ff2fc3fs8fbfi">
    <w:name w:val="ff2 fc3 fs8 fb fi"/>
    <w:basedOn w:val="Carpredefinitoparagrafo"/>
    <w:rsid w:val="00CC05AB"/>
  </w:style>
  <w:style w:type="character" w:customStyle="1" w:styleId="ff2fc4fs8fb">
    <w:name w:val="ff2 fc4 fs8 fb"/>
    <w:basedOn w:val="Carpredefinitoparagrafo"/>
    <w:rsid w:val="00CC05AB"/>
  </w:style>
  <w:style w:type="character" w:customStyle="1" w:styleId="ff2fc0fs8fb">
    <w:name w:val="ff2 fc0 fs8 fb"/>
    <w:basedOn w:val="Carpredefinitoparagrafo"/>
    <w:rsid w:val="00CC05AB"/>
  </w:style>
  <w:style w:type="character" w:customStyle="1" w:styleId="ff2fc0fs8">
    <w:name w:val="ff2 fc0 fs8"/>
    <w:basedOn w:val="Carpredefinitoparagrafo"/>
    <w:rsid w:val="00CC05AB"/>
  </w:style>
  <w:style w:type="character" w:customStyle="1" w:styleId="sottotitolo">
    <w:name w:val="sottotitolo"/>
    <w:basedOn w:val="Carpredefinitoparagrafo"/>
    <w:rsid w:val="00110BB3"/>
  </w:style>
  <w:style w:type="character" w:customStyle="1" w:styleId="keywords1liv1">
    <w:name w:val="keywords1liv1"/>
    <w:rsid w:val="00E673B0"/>
    <w:rPr>
      <w:b/>
      <w:bCs/>
    </w:rPr>
  </w:style>
  <w:style w:type="character" w:customStyle="1" w:styleId="keywords2liv1">
    <w:name w:val="keywords2liv1"/>
    <w:rsid w:val="00E673B0"/>
    <w:rPr>
      <w:b/>
      <w:bCs/>
      <w:i/>
      <w:iCs/>
    </w:rPr>
  </w:style>
  <w:style w:type="character" w:customStyle="1" w:styleId="keywords3liv">
    <w:name w:val="keywords3liv"/>
    <w:basedOn w:val="Carpredefinitoparagrafo"/>
    <w:rsid w:val="00E673B0"/>
  </w:style>
  <w:style w:type="paragraph" w:customStyle="1" w:styleId="enteemanatore1">
    <w:name w:val="ente_emanatore1"/>
    <w:basedOn w:val="Normale"/>
    <w:rsid w:val="00E673B0"/>
    <w:pPr>
      <w:spacing w:line="220" w:lineRule="atLeast"/>
      <w:jc w:val="both"/>
    </w:pPr>
  </w:style>
  <w:style w:type="character" w:customStyle="1" w:styleId="esponente4">
    <w:name w:val="esponente4"/>
    <w:rsid w:val="00E673B0"/>
    <w:rPr>
      <w:rFonts w:ascii="Arial" w:hAnsi="Arial" w:cs="Arial" w:hint="default"/>
      <w:color w:val="333333"/>
      <w:sz w:val="14"/>
      <w:szCs w:val="14"/>
      <w:bdr w:val="single" w:sz="6" w:space="0" w:color="333333" w:frame="1"/>
    </w:rPr>
  </w:style>
  <w:style w:type="character" w:customStyle="1" w:styleId="apple-converted-space">
    <w:name w:val="apple-converted-space"/>
    <w:basedOn w:val="Carpredefinitoparagrafo"/>
    <w:rsid w:val="00355D7E"/>
  </w:style>
  <w:style w:type="paragraph" w:customStyle="1" w:styleId="spip">
    <w:name w:val="spip"/>
    <w:basedOn w:val="Normale"/>
    <w:rsid w:val="00355D7E"/>
    <w:pPr>
      <w:spacing w:before="100" w:beforeAutospacing="1" w:after="100" w:afterAutospacing="1"/>
    </w:pPr>
    <w:rPr>
      <w:rFonts w:eastAsia="MS Mincho"/>
      <w:lang w:eastAsia="ja-JP"/>
    </w:rPr>
  </w:style>
  <w:style w:type="character" w:customStyle="1" w:styleId="rootline">
    <w:name w:val="rootline"/>
    <w:basedOn w:val="Carpredefinitoparagrafo"/>
    <w:rsid w:val="00355D7E"/>
  </w:style>
  <w:style w:type="paragraph" w:customStyle="1" w:styleId="bodytext">
    <w:name w:val="bodytext"/>
    <w:basedOn w:val="Normale"/>
    <w:rsid w:val="00355D7E"/>
    <w:pPr>
      <w:spacing w:before="100" w:beforeAutospacing="1" w:after="100" w:afterAutospacing="1"/>
    </w:pPr>
    <w:rPr>
      <w:rFonts w:eastAsia="MS Mincho"/>
      <w:lang w:eastAsia="ja-JP"/>
    </w:rPr>
  </w:style>
  <w:style w:type="character" w:customStyle="1" w:styleId="important">
    <w:name w:val="important"/>
    <w:basedOn w:val="Carpredefinitoparagrafo"/>
    <w:rsid w:val="00355D7E"/>
  </w:style>
  <w:style w:type="character" w:customStyle="1" w:styleId="esponente">
    <w:name w:val="esponente"/>
    <w:basedOn w:val="Carpredefinitoparagrafo"/>
    <w:rsid w:val="00953AB6"/>
  </w:style>
  <w:style w:type="paragraph" w:styleId="Titolo">
    <w:name w:val="Title"/>
    <w:basedOn w:val="Normale"/>
    <w:link w:val="TitoloCarattere"/>
    <w:qFormat/>
    <w:rsid w:val="001303EB"/>
    <w:pPr>
      <w:spacing w:line="360" w:lineRule="auto"/>
      <w:jc w:val="center"/>
    </w:pPr>
    <w:rPr>
      <w:b/>
      <w:sz w:val="28"/>
      <w:szCs w:val="20"/>
      <w:lang w:bidi="he-IL"/>
    </w:rPr>
  </w:style>
  <w:style w:type="character" w:customStyle="1" w:styleId="TitoloCarattere">
    <w:name w:val="Titolo Carattere"/>
    <w:link w:val="Titolo"/>
    <w:rsid w:val="001303EB"/>
    <w:rPr>
      <w:b/>
      <w:sz w:val="28"/>
      <w:lang w:bidi="he-IL"/>
    </w:rPr>
  </w:style>
  <w:style w:type="paragraph" w:styleId="Testonotaapidipagina">
    <w:name w:val="footnote text"/>
    <w:aliases w:val="stile 1,Footnote,Footnote1,Footnote2,Footnote3,Footnote4,Footnote5,Footnote6,Footnote7,Footnote8,Footnote9,Footnote10,Footnote11,Footnote21,Footnote31,Footnote41,Footnote51,Footnote61,Footnote71,Footnote81,Footnote91"/>
    <w:basedOn w:val="Normale"/>
    <w:link w:val="TestonotaapidipaginaCarattere"/>
    <w:uiPriority w:val="99"/>
    <w:rsid w:val="00D96193"/>
    <w:rPr>
      <w:rFonts w:eastAsia="SimSun"/>
      <w:sz w:val="20"/>
      <w:szCs w:val="20"/>
      <w:lang w:eastAsia="zh-CN"/>
    </w:rPr>
  </w:style>
  <w:style w:type="character" w:customStyle="1" w:styleId="TestonotaapidipaginaCarattere">
    <w:name w:val="Testo nota a piè di pagina Carattere"/>
    <w:aliases w:val="stile 1 Carattere,Footnote Carattere,Footnote1 Carattere,Footnote2 Carattere,Footnote3 Carattere,Footnote4 Carattere,Footnote5 Carattere,Footnote6 Carattere,Footnote7 Carattere,Footnote8 Carattere,Footnote9 Carattere"/>
    <w:link w:val="Testonotaapidipagina"/>
    <w:uiPriority w:val="99"/>
    <w:rsid w:val="00D96193"/>
    <w:rPr>
      <w:rFonts w:eastAsia="SimSun"/>
      <w:lang w:eastAsia="zh-CN"/>
    </w:rPr>
  </w:style>
  <w:style w:type="character" w:styleId="Rimandonotaapidipagina">
    <w:name w:val="footnote reference"/>
    <w:uiPriority w:val="99"/>
    <w:rsid w:val="00D96193"/>
    <w:rPr>
      <w:vertAlign w:val="superscript"/>
    </w:rPr>
  </w:style>
  <w:style w:type="paragraph" w:styleId="Intestazione">
    <w:name w:val="header"/>
    <w:basedOn w:val="Normale"/>
    <w:rsid w:val="002107DE"/>
    <w:pPr>
      <w:tabs>
        <w:tab w:val="center" w:pos="4819"/>
        <w:tab w:val="right" w:pos="9638"/>
      </w:tabs>
    </w:pPr>
  </w:style>
  <w:style w:type="paragraph" w:styleId="Pidipagina">
    <w:name w:val="footer"/>
    <w:basedOn w:val="Normale"/>
    <w:rsid w:val="002107DE"/>
    <w:pPr>
      <w:tabs>
        <w:tab w:val="center" w:pos="4819"/>
        <w:tab w:val="right" w:pos="9638"/>
      </w:tabs>
    </w:pPr>
  </w:style>
  <w:style w:type="character" w:styleId="Numeropagina">
    <w:name w:val="page number"/>
    <w:basedOn w:val="Carpredefinitoparagrafo"/>
    <w:rsid w:val="002107DE"/>
  </w:style>
  <w:style w:type="paragraph" w:styleId="Paragrafoelenco">
    <w:name w:val="List Paragraph"/>
    <w:basedOn w:val="Normale"/>
    <w:uiPriority w:val="34"/>
    <w:qFormat/>
    <w:rsid w:val="00082A0A"/>
    <w:pPr>
      <w:ind w:left="708"/>
    </w:pPr>
  </w:style>
  <w:style w:type="table" w:styleId="Grigliatabella">
    <w:name w:val="Table Grid"/>
    <w:basedOn w:val="Tabellanormale"/>
    <w:rsid w:val="00E268C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span-pp">
    <w:name w:val="span-pp"/>
    <w:basedOn w:val="Carpredefinitoparagrafo"/>
    <w:rsid w:val="00640F05"/>
  </w:style>
  <w:style w:type="paragraph" w:styleId="Corpodeltesto3">
    <w:name w:val="Body Text 3"/>
    <w:basedOn w:val="Normale"/>
    <w:link w:val="Corpodeltesto3Carattere"/>
    <w:rsid w:val="00692A86"/>
    <w:pPr>
      <w:jc w:val="both"/>
    </w:pPr>
    <w:rPr>
      <w:sz w:val="26"/>
      <w:szCs w:val="20"/>
      <w:lang/>
    </w:rPr>
  </w:style>
  <w:style w:type="character" w:customStyle="1" w:styleId="Corpodeltesto3Carattere">
    <w:name w:val="Corpo del testo 3 Carattere"/>
    <w:link w:val="Corpodeltesto3"/>
    <w:rsid w:val="00692A86"/>
    <w:rPr>
      <w:sz w:val="26"/>
    </w:rPr>
  </w:style>
  <w:style w:type="paragraph" w:styleId="Testofumetto">
    <w:name w:val="Balloon Text"/>
    <w:basedOn w:val="Normale"/>
    <w:link w:val="TestofumettoCarattere"/>
    <w:rsid w:val="004E2A09"/>
    <w:rPr>
      <w:rFonts w:ascii="Tahoma" w:hAnsi="Tahoma"/>
      <w:sz w:val="16"/>
      <w:szCs w:val="16"/>
      <w:lang/>
    </w:rPr>
  </w:style>
  <w:style w:type="character" w:customStyle="1" w:styleId="TestofumettoCarattere">
    <w:name w:val="Testo fumetto Carattere"/>
    <w:link w:val="Testofumetto"/>
    <w:rsid w:val="004E2A09"/>
    <w:rPr>
      <w:rFonts w:ascii="Tahoma" w:hAnsi="Tahoma" w:cs="Tahoma"/>
      <w:sz w:val="16"/>
      <w:szCs w:val="16"/>
    </w:rPr>
  </w:style>
  <w:style w:type="paragraph" w:customStyle="1" w:styleId="Pa2">
    <w:name w:val="Pa2"/>
    <w:basedOn w:val="Normale"/>
    <w:next w:val="Normale"/>
    <w:uiPriority w:val="99"/>
    <w:rsid w:val="00462342"/>
    <w:pPr>
      <w:autoSpaceDE w:val="0"/>
      <w:autoSpaceDN w:val="0"/>
      <w:adjustRightInd w:val="0"/>
      <w:spacing w:line="241" w:lineRule="atLeast"/>
    </w:pPr>
    <w:rPr>
      <w:rFonts w:ascii="Futura Book" w:hAnsi="Futura Book"/>
    </w:rPr>
  </w:style>
  <w:style w:type="character" w:customStyle="1" w:styleId="A8">
    <w:name w:val="A8"/>
    <w:uiPriority w:val="99"/>
    <w:rsid w:val="00462342"/>
    <w:rPr>
      <w:rFonts w:cs="Futura Book"/>
      <w:color w:val="000000"/>
    </w:rPr>
  </w:style>
  <w:style w:type="paragraph" w:styleId="Corpotesto">
    <w:name w:val="Corpo testo"/>
    <w:basedOn w:val="Normale"/>
    <w:link w:val="CorpotestoCarattere"/>
    <w:rsid w:val="00E33117"/>
    <w:pPr>
      <w:spacing w:after="120"/>
    </w:pPr>
    <w:rPr>
      <w:lang/>
    </w:rPr>
  </w:style>
  <w:style w:type="character" w:customStyle="1" w:styleId="CorpotestoCarattere">
    <w:name w:val="Corpo testo Carattere"/>
    <w:link w:val="Corpotesto"/>
    <w:rsid w:val="00E33117"/>
    <w:rPr>
      <w:sz w:val="24"/>
      <w:szCs w:val="24"/>
    </w:rPr>
  </w:style>
  <w:style w:type="paragraph" w:customStyle="1" w:styleId="Default">
    <w:name w:val="Default"/>
    <w:rsid w:val="005D30A9"/>
    <w:pPr>
      <w:autoSpaceDE w:val="0"/>
      <w:autoSpaceDN w:val="0"/>
      <w:adjustRightInd w:val="0"/>
    </w:pPr>
    <w:rPr>
      <w:color w:val="000000"/>
      <w:sz w:val="24"/>
      <w:szCs w:val="24"/>
    </w:rPr>
  </w:style>
</w:styles>
</file>

<file path=word/webSettings.xml><?xml version="1.0" encoding="utf-8"?>
<w:webSettings xmlns:r="http://schemas.openxmlformats.org/officeDocument/2006/relationships" xmlns:w="http://schemas.openxmlformats.org/wordprocessingml/2006/main">
  <w:divs>
    <w:div w:id="536282685">
      <w:bodyDiv w:val="1"/>
      <w:marLeft w:val="0"/>
      <w:marRight w:val="0"/>
      <w:marTop w:val="0"/>
      <w:marBottom w:val="0"/>
      <w:divBdr>
        <w:top w:val="none" w:sz="0" w:space="0" w:color="auto"/>
        <w:left w:val="none" w:sz="0" w:space="0" w:color="auto"/>
        <w:bottom w:val="none" w:sz="0" w:space="0" w:color="auto"/>
        <w:right w:val="none" w:sz="0" w:space="0" w:color="auto"/>
      </w:divBdr>
      <w:divsChild>
        <w:div w:id="26687052">
          <w:marLeft w:val="0"/>
          <w:marRight w:val="0"/>
          <w:marTop w:val="150"/>
          <w:marBottom w:val="150"/>
          <w:divBdr>
            <w:top w:val="none" w:sz="0" w:space="0" w:color="auto"/>
            <w:left w:val="none" w:sz="0" w:space="0" w:color="auto"/>
            <w:bottom w:val="none" w:sz="0" w:space="0" w:color="auto"/>
            <w:right w:val="none" w:sz="0" w:space="0" w:color="auto"/>
          </w:divBdr>
        </w:div>
      </w:divsChild>
    </w:div>
    <w:div w:id="918372703">
      <w:bodyDiv w:val="1"/>
      <w:marLeft w:val="0"/>
      <w:marRight w:val="0"/>
      <w:marTop w:val="0"/>
      <w:marBottom w:val="0"/>
      <w:divBdr>
        <w:top w:val="none" w:sz="0" w:space="0" w:color="auto"/>
        <w:left w:val="none" w:sz="0" w:space="0" w:color="auto"/>
        <w:bottom w:val="none" w:sz="0" w:space="0" w:color="auto"/>
        <w:right w:val="none" w:sz="0" w:space="0" w:color="auto"/>
      </w:divBdr>
      <w:divsChild>
        <w:div w:id="903376670">
          <w:marLeft w:val="0"/>
          <w:marRight w:val="0"/>
          <w:marTop w:val="0"/>
          <w:marBottom w:val="0"/>
          <w:divBdr>
            <w:top w:val="none" w:sz="0" w:space="0" w:color="auto"/>
            <w:left w:val="none" w:sz="0" w:space="0" w:color="auto"/>
            <w:bottom w:val="none" w:sz="0" w:space="0" w:color="auto"/>
            <w:right w:val="none" w:sz="0" w:space="0" w:color="auto"/>
          </w:divBdr>
        </w:div>
        <w:div w:id="1796678847">
          <w:marLeft w:val="0"/>
          <w:marRight w:val="0"/>
          <w:marTop w:val="0"/>
          <w:marBottom w:val="0"/>
          <w:divBdr>
            <w:top w:val="none" w:sz="0" w:space="0" w:color="auto"/>
            <w:left w:val="none" w:sz="0" w:space="0" w:color="auto"/>
            <w:bottom w:val="none" w:sz="0" w:space="0" w:color="auto"/>
            <w:right w:val="none" w:sz="0" w:space="0" w:color="auto"/>
          </w:divBdr>
          <w:divsChild>
            <w:div w:id="1391882501">
              <w:marLeft w:val="150"/>
              <w:marRight w:val="150"/>
              <w:marTop w:val="150"/>
              <w:marBottom w:val="150"/>
              <w:divBdr>
                <w:top w:val="none" w:sz="0" w:space="0" w:color="auto"/>
                <w:left w:val="none" w:sz="0" w:space="0" w:color="auto"/>
                <w:bottom w:val="none" w:sz="0" w:space="0" w:color="auto"/>
                <w:right w:val="none" w:sz="0" w:space="0" w:color="auto"/>
              </w:divBdr>
              <w:divsChild>
                <w:div w:id="216282252">
                  <w:marLeft w:val="0"/>
                  <w:marRight w:val="0"/>
                  <w:marTop w:val="0"/>
                  <w:marBottom w:val="0"/>
                  <w:divBdr>
                    <w:top w:val="none" w:sz="0" w:space="0" w:color="auto"/>
                    <w:left w:val="none" w:sz="0" w:space="0" w:color="auto"/>
                    <w:bottom w:val="none" w:sz="0" w:space="0" w:color="auto"/>
                    <w:right w:val="none" w:sz="0" w:space="0" w:color="auto"/>
                  </w:divBdr>
                </w:div>
                <w:div w:id="1290816856">
                  <w:marLeft w:val="0"/>
                  <w:marRight w:val="0"/>
                  <w:marTop w:val="0"/>
                  <w:marBottom w:val="0"/>
                  <w:divBdr>
                    <w:top w:val="none" w:sz="0" w:space="0" w:color="auto"/>
                    <w:left w:val="none" w:sz="0" w:space="0" w:color="auto"/>
                    <w:bottom w:val="none" w:sz="0" w:space="0" w:color="auto"/>
                    <w:right w:val="none" w:sz="0" w:space="0" w:color="auto"/>
                  </w:divBdr>
                </w:div>
                <w:div w:id="2017225949">
                  <w:marLeft w:val="0"/>
                  <w:marRight w:val="0"/>
                  <w:marTop w:val="0"/>
                  <w:marBottom w:val="0"/>
                  <w:divBdr>
                    <w:top w:val="none" w:sz="0" w:space="0" w:color="auto"/>
                    <w:left w:val="none" w:sz="0" w:space="0" w:color="auto"/>
                    <w:bottom w:val="none" w:sz="0" w:space="0" w:color="auto"/>
                    <w:right w:val="none" w:sz="0" w:space="0" w:color="auto"/>
                  </w:divBdr>
                </w:div>
                <w:div w:id="2059087417">
                  <w:marLeft w:val="0"/>
                  <w:marRight w:val="0"/>
                  <w:marTop w:val="0"/>
                  <w:marBottom w:val="0"/>
                  <w:divBdr>
                    <w:top w:val="none" w:sz="0" w:space="0" w:color="auto"/>
                    <w:left w:val="none" w:sz="0" w:space="0" w:color="auto"/>
                    <w:bottom w:val="none" w:sz="0" w:space="0" w:color="auto"/>
                    <w:right w:val="none" w:sz="0" w:space="0" w:color="auto"/>
                  </w:divBdr>
                </w:div>
              </w:divsChild>
            </w:div>
            <w:div w:id="1532181759">
              <w:marLeft w:val="150"/>
              <w:marRight w:val="150"/>
              <w:marTop w:val="150"/>
              <w:marBottom w:val="150"/>
              <w:divBdr>
                <w:top w:val="none" w:sz="0" w:space="0" w:color="auto"/>
                <w:left w:val="none" w:sz="0" w:space="0" w:color="auto"/>
                <w:bottom w:val="none" w:sz="0" w:space="0" w:color="auto"/>
                <w:right w:val="none" w:sz="0" w:space="0" w:color="auto"/>
              </w:divBdr>
              <w:divsChild>
                <w:div w:id="105319514">
                  <w:marLeft w:val="0"/>
                  <w:marRight w:val="0"/>
                  <w:marTop w:val="0"/>
                  <w:marBottom w:val="0"/>
                  <w:divBdr>
                    <w:top w:val="none" w:sz="0" w:space="0" w:color="auto"/>
                    <w:left w:val="none" w:sz="0" w:space="0" w:color="auto"/>
                    <w:bottom w:val="none" w:sz="0" w:space="0" w:color="auto"/>
                    <w:right w:val="none" w:sz="0" w:space="0" w:color="auto"/>
                  </w:divBdr>
                </w:div>
                <w:div w:id="184012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1754901">
      <w:bodyDiv w:val="1"/>
      <w:marLeft w:val="0"/>
      <w:marRight w:val="0"/>
      <w:marTop w:val="0"/>
      <w:marBottom w:val="0"/>
      <w:divBdr>
        <w:top w:val="none" w:sz="0" w:space="0" w:color="auto"/>
        <w:left w:val="none" w:sz="0" w:space="0" w:color="auto"/>
        <w:bottom w:val="none" w:sz="0" w:space="0" w:color="auto"/>
        <w:right w:val="none" w:sz="0" w:space="0" w:color="auto"/>
      </w:divBdr>
      <w:divsChild>
        <w:div w:id="47193298">
          <w:blockQuote w:val="1"/>
          <w:marLeft w:val="720"/>
          <w:marRight w:val="720"/>
          <w:marTop w:val="100"/>
          <w:marBottom w:val="100"/>
          <w:divBdr>
            <w:top w:val="none" w:sz="0" w:space="0" w:color="auto"/>
            <w:left w:val="none" w:sz="0" w:space="0" w:color="auto"/>
            <w:bottom w:val="none" w:sz="0" w:space="0" w:color="auto"/>
            <w:right w:val="none" w:sz="0" w:space="0" w:color="auto"/>
          </w:divBdr>
        </w:div>
        <w:div w:id="217740126">
          <w:blockQuote w:val="1"/>
          <w:marLeft w:val="720"/>
          <w:marRight w:val="720"/>
          <w:marTop w:val="100"/>
          <w:marBottom w:val="100"/>
          <w:divBdr>
            <w:top w:val="none" w:sz="0" w:space="0" w:color="auto"/>
            <w:left w:val="none" w:sz="0" w:space="0" w:color="auto"/>
            <w:bottom w:val="none" w:sz="0" w:space="0" w:color="auto"/>
            <w:right w:val="none" w:sz="0" w:space="0" w:color="auto"/>
          </w:divBdr>
        </w:div>
        <w:div w:id="321540987">
          <w:blockQuote w:val="1"/>
          <w:marLeft w:val="720"/>
          <w:marRight w:val="720"/>
          <w:marTop w:val="100"/>
          <w:marBottom w:val="100"/>
          <w:divBdr>
            <w:top w:val="none" w:sz="0" w:space="0" w:color="auto"/>
            <w:left w:val="none" w:sz="0" w:space="0" w:color="auto"/>
            <w:bottom w:val="none" w:sz="0" w:space="0" w:color="auto"/>
            <w:right w:val="none" w:sz="0" w:space="0" w:color="auto"/>
          </w:divBdr>
        </w:div>
        <w:div w:id="347951730">
          <w:blockQuote w:val="1"/>
          <w:marLeft w:val="720"/>
          <w:marRight w:val="720"/>
          <w:marTop w:val="100"/>
          <w:marBottom w:val="100"/>
          <w:divBdr>
            <w:top w:val="none" w:sz="0" w:space="0" w:color="auto"/>
            <w:left w:val="none" w:sz="0" w:space="0" w:color="auto"/>
            <w:bottom w:val="none" w:sz="0" w:space="0" w:color="auto"/>
            <w:right w:val="none" w:sz="0" w:space="0" w:color="auto"/>
          </w:divBdr>
        </w:div>
        <w:div w:id="385227179">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92322766">
              <w:blockQuote w:val="1"/>
              <w:marLeft w:val="720"/>
              <w:marRight w:val="720"/>
              <w:marTop w:val="100"/>
              <w:marBottom w:val="100"/>
              <w:divBdr>
                <w:top w:val="none" w:sz="0" w:space="0" w:color="auto"/>
                <w:left w:val="none" w:sz="0" w:space="0" w:color="auto"/>
                <w:bottom w:val="none" w:sz="0" w:space="0" w:color="auto"/>
                <w:right w:val="none" w:sz="0" w:space="0" w:color="auto"/>
              </w:divBdr>
            </w:div>
            <w:div w:id="62338672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582422758">
          <w:blockQuote w:val="1"/>
          <w:marLeft w:val="720"/>
          <w:marRight w:val="720"/>
          <w:marTop w:val="100"/>
          <w:marBottom w:val="100"/>
          <w:divBdr>
            <w:top w:val="none" w:sz="0" w:space="0" w:color="auto"/>
            <w:left w:val="none" w:sz="0" w:space="0" w:color="auto"/>
            <w:bottom w:val="none" w:sz="0" w:space="0" w:color="auto"/>
            <w:right w:val="none" w:sz="0" w:space="0" w:color="auto"/>
          </w:divBdr>
        </w:div>
        <w:div w:id="729618945">
          <w:blockQuote w:val="1"/>
          <w:marLeft w:val="720"/>
          <w:marRight w:val="720"/>
          <w:marTop w:val="100"/>
          <w:marBottom w:val="100"/>
          <w:divBdr>
            <w:top w:val="none" w:sz="0" w:space="0" w:color="auto"/>
            <w:left w:val="none" w:sz="0" w:space="0" w:color="auto"/>
            <w:bottom w:val="none" w:sz="0" w:space="0" w:color="auto"/>
            <w:right w:val="none" w:sz="0" w:space="0" w:color="auto"/>
          </w:divBdr>
        </w:div>
        <w:div w:id="812331720">
          <w:blockQuote w:val="1"/>
          <w:marLeft w:val="720"/>
          <w:marRight w:val="720"/>
          <w:marTop w:val="100"/>
          <w:marBottom w:val="100"/>
          <w:divBdr>
            <w:top w:val="none" w:sz="0" w:space="0" w:color="auto"/>
            <w:left w:val="none" w:sz="0" w:space="0" w:color="auto"/>
            <w:bottom w:val="none" w:sz="0" w:space="0" w:color="auto"/>
            <w:right w:val="none" w:sz="0" w:space="0" w:color="auto"/>
          </w:divBdr>
        </w:div>
        <w:div w:id="851455765">
          <w:blockQuote w:val="1"/>
          <w:marLeft w:val="720"/>
          <w:marRight w:val="720"/>
          <w:marTop w:val="100"/>
          <w:marBottom w:val="100"/>
          <w:divBdr>
            <w:top w:val="none" w:sz="0" w:space="0" w:color="auto"/>
            <w:left w:val="none" w:sz="0" w:space="0" w:color="auto"/>
            <w:bottom w:val="none" w:sz="0" w:space="0" w:color="auto"/>
            <w:right w:val="none" w:sz="0" w:space="0" w:color="auto"/>
          </w:divBdr>
        </w:div>
        <w:div w:id="974145816">
          <w:blockQuote w:val="1"/>
          <w:marLeft w:val="720"/>
          <w:marRight w:val="720"/>
          <w:marTop w:val="100"/>
          <w:marBottom w:val="100"/>
          <w:divBdr>
            <w:top w:val="none" w:sz="0" w:space="0" w:color="auto"/>
            <w:left w:val="none" w:sz="0" w:space="0" w:color="auto"/>
            <w:bottom w:val="none" w:sz="0" w:space="0" w:color="auto"/>
            <w:right w:val="none" w:sz="0" w:space="0" w:color="auto"/>
          </w:divBdr>
        </w:div>
        <w:div w:id="1049960370">
          <w:blockQuote w:val="1"/>
          <w:marLeft w:val="720"/>
          <w:marRight w:val="720"/>
          <w:marTop w:val="100"/>
          <w:marBottom w:val="100"/>
          <w:divBdr>
            <w:top w:val="none" w:sz="0" w:space="0" w:color="auto"/>
            <w:left w:val="none" w:sz="0" w:space="0" w:color="auto"/>
            <w:bottom w:val="none" w:sz="0" w:space="0" w:color="auto"/>
            <w:right w:val="none" w:sz="0" w:space="0" w:color="auto"/>
          </w:divBdr>
        </w:div>
        <w:div w:id="1061711017">
          <w:blockQuote w:val="1"/>
          <w:marLeft w:val="720"/>
          <w:marRight w:val="720"/>
          <w:marTop w:val="100"/>
          <w:marBottom w:val="100"/>
          <w:divBdr>
            <w:top w:val="none" w:sz="0" w:space="0" w:color="auto"/>
            <w:left w:val="none" w:sz="0" w:space="0" w:color="auto"/>
            <w:bottom w:val="none" w:sz="0" w:space="0" w:color="auto"/>
            <w:right w:val="none" w:sz="0" w:space="0" w:color="auto"/>
          </w:divBdr>
        </w:div>
        <w:div w:id="1163859405">
          <w:blockQuote w:val="1"/>
          <w:marLeft w:val="720"/>
          <w:marRight w:val="720"/>
          <w:marTop w:val="100"/>
          <w:marBottom w:val="100"/>
          <w:divBdr>
            <w:top w:val="none" w:sz="0" w:space="0" w:color="auto"/>
            <w:left w:val="none" w:sz="0" w:space="0" w:color="auto"/>
            <w:bottom w:val="none" w:sz="0" w:space="0" w:color="auto"/>
            <w:right w:val="none" w:sz="0" w:space="0" w:color="auto"/>
          </w:divBdr>
        </w:div>
        <w:div w:id="1169566224">
          <w:blockQuote w:val="1"/>
          <w:marLeft w:val="720"/>
          <w:marRight w:val="720"/>
          <w:marTop w:val="100"/>
          <w:marBottom w:val="100"/>
          <w:divBdr>
            <w:top w:val="none" w:sz="0" w:space="0" w:color="auto"/>
            <w:left w:val="none" w:sz="0" w:space="0" w:color="auto"/>
            <w:bottom w:val="none" w:sz="0" w:space="0" w:color="auto"/>
            <w:right w:val="none" w:sz="0" w:space="0" w:color="auto"/>
          </w:divBdr>
        </w:div>
        <w:div w:id="1218081160">
          <w:blockQuote w:val="1"/>
          <w:marLeft w:val="720"/>
          <w:marRight w:val="720"/>
          <w:marTop w:val="100"/>
          <w:marBottom w:val="100"/>
          <w:divBdr>
            <w:top w:val="none" w:sz="0" w:space="0" w:color="auto"/>
            <w:left w:val="none" w:sz="0" w:space="0" w:color="auto"/>
            <w:bottom w:val="none" w:sz="0" w:space="0" w:color="auto"/>
            <w:right w:val="none" w:sz="0" w:space="0" w:color="auto"/>
          </w:divBdr>
        </w:div>
        <w:div w:id="1295133135">
          <w:blockQuote w:val="1"/>
          <w:marLeft w:val="720"/>
          <w:marRight w:val="720"/>
          <w:marTop w:val="100"/>
          <w:marBottom w:val="100"/>
          <w:divBdr>
            <w:top w:val="none" w:sz="0" w:space="0" w:color="auto"/>
            <w:left w:val="none" w:sz="0" w:space="0" w:color="auto"/>
            <w:bottom w:val="none" w:sz="0" w:space="0" w:color="auto"/>
            <w:right w:val="none" w:sz="0" w:space="0" w:color="auto"/>
          </w:divBdr>
        </w:div>
        <w:div w:id="1701124991">
          <w:blockQuote w:val="1"/>
          <w:marLeft w:val="720"/>
          <w:marRight w:val="720"/>
          <w:marTop w:val="100"/>
          <w:marBottom w:val="100"/>
          <w:divBdr>
            <w:top w:val="none" w:sz="0" w:space="0" w:color="auto"/>
            <w:left w:val="none" w:sz="0" w:space="0" w:color="auto"/>
            <w:bottom w:val="none" w:sz="0" w:space="0" w:color="auto"/>
            <w:right w:val="none" w:sz="0" w:space="0" w:color="auto"/>
          </w:divBdr>
        </w:div>
        <w:div w:id="1998873316">
          <w:blockQuote w:val="1"/>
          <w:marLeft w:val="720"/>
          <w:marRight w:val="720"/>
          <w:marTop w:val="100"/>
          <w:marBottom w:val="100"/>
          <w:divBdr>
            <w:top w:val="none" w:sz="0" w:space="0" w:color="auto"/>
            <w:left w:val="none" w:sz="0" w:space="0" w:color="auto"/>
            <w:bottom w:val="none" w:sz="0" w:space="0" w:color="auto"/>
            <w:right w:val="none" w:sz="0" w:space="0" w:color="auto"/>
          </w:divBdr>
        </w:div>
        <w:div w:id="2000497011">
          <w:blockQuote w:val="1"/>
          <w:marLeft w:val="720"/>
          <w:marRight w:val="720"/>
          <w:marTop w:val="100"/>
          <w:marBottom w:val="100"/>
          <w:divBdr>
            <w:top w:val="none" w:sz="0" w:space="0" w:color="auto"/>
            <w:left w:val="none" w:sz="0" w:space="0" w:color="auto"/>
            <w:bottom w:val="none" w:sz="0" w:space="0" w:color="auto"/>
            <w:right w:val="none" w:sz="0" w:space="0" w:color="auto"/>
          </w:divBdr>
        </w:div>
        <w:div w:id="209882248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1117290043">
      <w:bodyDiv w:val="1"/>
      <w:marLeft w:val="0"/>
      <w:marRight w:val="0"/>
      <w:marTop w:val="0"/>
      <w:marBottom w:val="0"/>
      <w:divBdr>
        <w:top w:val="none" w:sz="0" w:space="0" w:color="auto"/>
        <w:left w:val="none" w:sz="0" w:space="0" w:color="auto"/>
        <w:bottom w:val="none" w:sz="0" w:space="0" w:color="auto"/>
        <w:right w:val="none" w:sz="0" w:space="0" w:color="auto"/>
      </w:divBdr>
    </w:div>
    <w:div w:id="1266499586">
      <w:bodyDiv w:val="1"/>
      <w:marLeft w:val="0"/>
      <w:marRight w:val="0"/>
      <w:marTop w:val="0"/>
      <w:marBottom w:val="0"/>
      <w:divBdr>
        <w:top w:val="none" w:sz="0" w:space="0" w:color="auto"/>
        <w:left w:val="none" w:sz="0" w:space="0" w:color="auto"/>
        <w:bottom w:val="none" w:sz="0" w:space="0" w:color="auto"/>
        <w:right w:val="none" w:sz="0" w:space="0" w:color="auto"/>
      </w:divBdr>
    </w:div>
    <w:div w:id="1375734818">
      <w:bodyDiv w:val="1"/>
      <w:marLeft w:val="0"/>
      <w:marRight w:val="0"/>
      <w:marTop w:val="0"/>
      <w:marBottom w:val="0"/>
      <w:divBdr>
        <w:top w:val="none" w:sz="0" w:space="0" w:color="auto"/>
        <w:left w:val="none" w:sz="0" w:space="0" w:color="auto"/>
        <w:bottom w:val="none" w:sz="0" w:space="0" w:color="auto"/>
        <w:right w:val="none" w:sz="0" w:space="0" w:color="auto"/>
      </w:divBdr>
      <w:divsChild>
        <w:div w:id="962004317">
          <w:marLeft w:val="0"/>
          <w:marRight w:val="0"/>
          <w:marTop w:val="0"/>
          <w:marBottom w:val="0"/>
          <w:divBdr>
            <w:top w:val="none" w:sz="0" w:space="0" w:color="auto"/>
            <w:left w:val="none" w:sz="0" w:space="0" w:color="auto"/>
            <w:bottom w:val="none" w:sz="0" w:space="0" w:color="auto"/>
            <w:right w:val="none" w:sz="0" w:space="0" w:color="auto"/>
          </w:divBdr>
          <w:divsChild>
            <w:div w:id="1817644922">
              <w:marLeft w:val="0"/>
              <w:marRight w:val="0"/>
              <w:marTop w:val="0"/>
              <w:marBottom w:val="0"/>
              <w:divBdr>
                <w:top w:val="none" w:sz="0" w:space="0" w:color="auto"/>
                <w:left w:val="none" w:sz="0" w:space="0" w:color="auto"/>
                <w:bottom w:val="none" w:sz="0" w:space="0" w:color="auto"/>
                <w:right w:val="none" w:sz="0" w:space="0" w:color="auto"/>
              </w:divBdr>
              <w:divsChild>
                <w:div w:id="1450052244">
                  <w:marLeft w:val="0"/>
                  <w:marRight w:val="0"/>
                  <w:marTop w:val="0"/>
                  <w:marBottom w:val="0"/>
                  <w:divBdr>
                    <w:top w:val="none" w:sz="0" w:space="0" w:color="auto"/>
                    <w:left w:val="none" w:sz="0" w:space="0" w:color="auto"/>
                    <w:bottom w:val="none" w:sz="0" w:space="0" w:color="auto"/>
                    <w:right w:val="none" w:sz="0" w:space="0" w:color="auto"/>
                  </w:divBdr>
                  <w:divsChild>
                    <w:div w:id="1735158634">
                      <w:marLeft w:val="0"/>
                      <w:marRight w:val="0"/>
                      <w:marTop w:val="0"/>
                      <w:marBottom w:val="0"/>
                      <w:divBdr>
                        <w:top w:val="none" w:sz="0" w:space="0" w:color="auto"/>
                        <w:left w:val="none" w:sz="0" w:space="0" w:color="auto"/>
                        <w:bottom w:val="none" w:sz="0" w:space="0" w:color="auto"/>
                        <w:right w:val="none" w:sz="0" w:space="0" w:color="auto"/>
                      </w:divBdr>
                      <w:divsChild>
                        <w:div w:id="1953704729">
                          <w:marLeft w:val="0"/>
                          <w:marRight w:val="0"/>
                          <w:marTop w:val="0"/>
                          <w:marBottom w:val="0"/>
                          <w:divBdr>
                            <w:top w:val="none" w:sz="0" w:space="0" w:color="auto"/>
                            <w:left w:val="none" w:sz="0" w:space="0" w:color="auto"/>
                            <w:bottom w:val="none" w:sz="0" w:space="0" w:color="auto"/>
                            <w:right w:val="none" w:sz="0" w:space="0" w:color="auto"/>
                          </w:divBdr>
                          <w:divsChild>
                            <w:div w:id="680474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486124545">
      <w:bodyDiv w:val="1"/>
      <w:marLeft w:val="0"/>
      <w:marRight w:val="0"/>
      <w:marTop w:val="0"/>
      <w:marBottom w:val="0"/>
      <w:divBdr>
        <w:top w:val="none" w:sz="0" w:space="0" w:color="auto"/>
        <w:left w:val="none" w:sz="0" w:space="0" w:color="auto"/>
        <w:bottom w:val="none" w:sz="0" w:space="0" w:color="auto"/>
        <w:right w:val="none" w:sz="0" w:space="0" w:color="auto"/>
      </w:divBdr>
      <w:divsChild>
        <w:div w:id="1422213020">
          <w:marLeft w:val="0"/>
          <w:marRight w:val="0"/>
          <w:marTop w:val="150"/>
          <w:marBottom w:val="150"/>
          <w:divBdr>
            <w:top w:val="none" w:sz="0" w:space="0" w:color="auto"/>
            <w:left w:val="none" w:sz="0" w:space="0" w:color="auto"/>
            <w:bottom w:val="none" w:sz="0" w:space="0" w:color="auto"/>
            <w:right w:val="none" w:sz="0" w:space="0" w:color="auto"/>
          </w:divBdr>
        </w:div>
      </w:divsChild>
    </w:div>
    <w:div w:id="1528719687">
      <w:bodyDiv w:val="1"/>
      <w:marLeft w:val="0"/>
      <w:marRight w:val="0"/>
      <w:marTop w:val="0"/>
      <w:marBottom w:val="0"/>
      <w:divBdr>
        <w:top w:val="none" w:sz="0" w:space="0" w:color="auto"/>
        <w:left w:val="none" w:sz="0" w:space="0" w:color="auto"/>
        <w:bottom w:val="none" w:sz="0" w:space="0" w:color="auto"/>
        <w:right w:val="none" w:sz="0" w:space="0" w:color="auto"/>
      </w:divBdr>
      <w:divsChild>
        <w:div w:id="731733815">
          <w:marLeft w:val="0"/>
          <w:marRight w:val="0"/>
          <w:marTop w:val="0"/>
          <w:marBottom w:val="0"/>
          <w:divBdr>
            <w:top w:val="none" w:sz="0" w:space="0" w:color="auto"/>
            <w:left w:val="none" w:sz="0" w:space="0" w:color="auto"/>
            <w:bottom w:val="none" w:sz="0" w:space="0" w:color="auto"/>
            <w:right w:val="none" w:sz="0" w:space="0" w:color="auto"/>
          </w:divBdr>
          <w:divsChild>
            <w:div w:id="2125806550">
              <w:marLeft w:val="0"/>
              <w:marRight w:val="0"/>
              <w:marTop w:val="0"/>
              <w:marBottom w:val="0"/>
              <w:divBdr>
                <w:top w:val="none" w:sz="0" w:space="0" w:color="auto"/>
                <w:left w:val="none" w:sz="0" w:space="0" w:color="auto"/>
                <w:bottom w:val="none" w:sz="0" w:space="0" w:color="auto"/>
                <w:right w:val="none" w:sz="0" w:space="0" w:color="auto"/>
              </w:divBdr>
              <w:divsChild>
                <w:div w:id="1849443353">
                  <w:marLeft w:val="0"/>
                  <w:marRight w:val="0"/>
                  <w:marTop w:val="0"/>
                  <w:marBottom w:val="0"/>
                  <w:divBdr>
                    <w:top w:val="none" w:sz="0" w:space="0" w:color="auto"/>
                    <w:left w:val="none" w:sz="0" w:space="0" w:color="auto"/>
                    <w:bottom w:val="none" w:sz="0" w:space="0" w:color="auto"/>
                    <w:right w:val="none" w:sz="0" w:space="0" w:color="auto"/>
                  </w:divBdr>
                  <w:divsChild>
                    <w:div w:id="1844931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13592429">
      <w:bodyDiv w:val="1"/>
      <w:marLeft w:val="0"/>
      <w:marRight w:val="0"/>
      <w:marTop w:val="0"/>
      <w:marBottom w:val="0"/>
      <w:divBdr>
        <w:top w:val="none" w:sz="0" w:space="0" w:color="auto"/>
        <w:left w:val="none" w:sz="0" w:space="0" w:color="auto"/>
        <w:bottom w:val="none" w:sz="0" w:space="0" w:color="auto"/>
        <w:right w:val="none" w:sz="0" w:space="0" w:color="auto"/>
      </w:divBdr>
      <w:divsChild>
        <w:div w:id="676536591">
          <w:marLeft w:val="0"/>
          <w:marRight w:val="0"/>
          <w:marTop w:val="0"/>
          <w:marBottom w:val="120"/>
          <w:divBdr>
            <w:top w:val="none" w:sz="0" w:space="0" w:color="auto"/>
            <w:left w:val="none" w:sz="0" w:space="0" w:color="auto"/>
            <w:bottom w:val="none" w:sz="0" w:space="0" w:color="auto"/>
            <w:right w:val="none" w:sz="0" w:space="0" w:color="auto"/>
          </w:divBdr>
        </w:div>
        <w:div w:id="807822315">
          <w:marLeft w:val="0"/>
          <w:marRight w:val="0"/>
          <w:marTop w:val="0"/>
          <w:marBottom w:val="120"/>
          <w:divBdr>
            <w:top w:val="none" w:sz="0" w:space="0" w:color="auto"/>
            <w:left w:val="none" w:sz="0" w:space="0" w:color="auto"/>
            <w:bottom w:val="none" w:sz="0" w:space="0" w:color="auto"/>
            <w:right w:val="none" w:sz="0" w:space="0" w:color="auto"/>
          </w:divBdr>
        </w:div>
        <w:div w:id="1612862010">
          <w:marLeft w:val="0"/>
          <w:marRight w:val="0"/>
          <w:marTop w:val="0"/>
          <w:marBottom w:val="120"/>
          <w:divBdr>
            <w:top w:val="none" w:sz="0" w:space="0" w:color="auto"/>
            <w:left w:val="none" w:sz="0" w:space="0" w:color="auto"/>
            <w:bottom w:val="none" w:sz="0" w:space="0" w:color="auto"/>
            <w:right w:val="none" w:sz="0" w:space="0" w:color="auto"/>
          </w:divBdr>
        </w:div>
      </w:divsChild>
    </w:div>
    <w:div w:id="1659502974">
      <w:bodyDiv w:val="1"/>
      <w:marLeft w:val="0"/>
      <w:marRight w:val="0"/>
      <w:marTop w:val="0"/>
      <w:marBottom w:val="0"/>
      <w:divBdr>
        <w:top w:val="none" w:sz="0" w:space="0" w:color="auto"/>
        <w:left w:val="none" w:sz="0" w:space="0" w:color="auto"/>
        <w:bottom w:val="none" w:sz="0" w:space="0" w:color="auto"/>
        <w:right w:val="none" w:sz="0" w:space="0" w:color="auto"/>
      </w:divBdr>
      <w:divsChild>
        <w:div w:id="1464426662">
          <w:marLeft w:val="0"/>
          <w:marRight w:val="0"/>
          <w:marTop w:val="0"/>
          <w:marBottom w:val="0"/>
          <w:divBdr>
            <w:top w:val="none" w:sz="0" w:space="0" w:color="auto"/>
            <w:left w:val="none" w:sz="0" w:space="0" w:color="auto"/>
            <w:bottom w:val="none" w:sz="0" w:space="0" w:color="auto"/>
            <w:right w:val="none" w:sz="0" w:space="0" w:color="auto"/>
          </w:divBdr>
          <w:divsChild>
            <w:div w:id="899095579">
              <w:marLeft w:val="0"/>
              <w:marRight w:val="0"/>
              <w:marTop w:val="0"/>
              <w:marBottom w:val="0"/>
              <w:divBdr>
                <w:top w:val="none" w:sz="0" w:space="0" w:color="auto"/>
                <w:left w:val="none" w:sz="0" w:space="0" w:color="auto"/>
                <w:bottom w:val="none" w:sz="0" w:space="0" w:color="auto"/>
                <w:right w:val="none" w:sz="0" w:space="0" w:color="auto"/>
              </w:divBdr>
              <w:divsChild>
                <w:div w:id="1974211493">
                  <w:marLeft w:val="0"/>
                  <w:marRight w:val="0"/>
                  <w:marTop w:val="0"/>
                  <w:marBottom w:val="0"/>
                  <w:divBdr>
                    <w:top w:val="none" w:sz="0" w:space="0" w:color="auto"/>
                    <w:left w:val="none" w:sz="0" w:space="0" w:color="auto"/>
                    <w:bottom w:val="none" w:sz="0" w:space="0" w:color="auto"/>
                    <w:right w:val="none" w:sz="0" w:space="0" w:color="auto"/>
                  </w:divBdr>
                  <w:divsChild>
                    <w:div w:id="488328527">
                      <w:marLeft w:val="0"/>
                      <w:marRight w:val="0"/>
                      <w:marTop w:val="0"/>
                      <w:marBottom w:val="0"/>
                      <w:divBdr>
                        <w:top w:val="none" w:sz="0" w:space="0" w:color="auto"/>
                        <w:left w:val="none" w:sz="0" w:space="0" w:color="auto"/>
                        <w:bottom w:val="none" w:sz="0" w:space="0" w:color="auto"/>
                        <w:right w:val="none" w:sz="0" w:space="0" w:color="auto"/>
                      </w:divBdr>
                      <w:divsChild>
                        <w:div w:id="11805275">
                          <w:marLeft w:val="0"/>
                          <w:marRight w:val="0"/>
                          <w:marTop w:val="0"/>
                          <w:marBottom w:val="0"/>
                          <w:divBdr>
                            <w:top w:val="none" w:sz="0" w:space="0" w:color="auto"/>
                            <w:left w:val="none" w:sz="0" w:space="0" w:color="auto"/>
                            <w:bottom w:val="none" w:sz="0" w:space="0" w:color="auto"/>
                            <w:right w:val="none" w:sz="0" w:space="0" w:color="auto"/>
                          </w:divBdr>
                          <w:divsChild>
                            <w:div w:id="239951491">
                              <w:marLeft w:val="0"/>
                              <w:marRight w:val="0"/>
                              <w:marTop w:val="0"/>
                              <w:marBottom w:val="0"/>
                              <w:divBdr>
                                <w:top w:val="none" w:sz="0" w:space="0" w:color="auto"/>
                                <w:left w:val="none" w:sz="0" w:space="0" w:color="auto"/>
                                <w:bottom w:val="none" w:sz="0" w:space="0" w:color="auto"/>
                                <w:right w:val="none" w:sz="0" w:space="0" w:color="auto"/>
                              </w:divBdr>
                              <w:divsChild>
                                <w:div w:id="2131513910">
                                  <w:marLeft w:val="0"/>
                                  <w:marRight w:val="0"/>
                                  <w:marTop w:val="30"/>
                                  <w:marBottom w:val="180"/>
                                  <w:divBdr>
                                    <w:top w:val="none" w:sz="0" w:space="0" w:color="auto"/>
                                    <w:left w:val="none" w:sz="0" w:space="0" w:color="auto"/>
                                    <w:bottom w:val="none" w:sz="0" w:space="0" w:color="auto"/>
                                    <w:right w:val="none" w:sz="0" w:space="0" w:color="auto"/>
                                  </w:divBdr>
                                  <w:divsChild>
                                    <w:div w:id="601037132">
                                      <w:marLeft w:val="0"/>
                                      <w:marRight w:val="0"/>
                                      <w:marTop w:val="0"/>
                                      <w:marBottom w:val="0"/>
                                      <w:divBdr>
                                        <w:top w:val="single" w:sz="6" w:space="0" w:color="CCCCCC"/>
                                        <w:left w:val="none" w:sz="0" w:space="0" w:color="auto"/>
                                        <w:bottom w:val="none" w:sz="0" w:space="0" w:color="auto"/>
                                        <w:right w:val="none" w:sz="0" w:space="0" w:color="auto"/>
                                      </w:divBdr>
                                      <w:divsChild>
                                        <w:div w:id="11118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0921749">
                              <w:marLeft w:val="0"/>
                              <w:marRight w:val="0"/>
                              <w:marTop w:val="0"/>
                              <w:marBottom w:val="0"/>
                              <w:divBdr>
                                <w:top w:val="single" w:sz="6" w:space="4" w:color="666666"/>
                                <w:left w:val="none" w:sz="0" w:space="0" w:color="auto"/>
                                <w:bottom w:val="none" w:sz="0" w:space="0" w:color="auto"/>
                                <w:right w:val="none" w:sz="0" w:space="0" w:color="auto"/>
                              </w:divBdr>
                            </w:div>
                            <w:div w:id="1895119044">
                              <w:marLeft w:val="0"/>
                              <w:marRight w:val="0"/>
                              <w:marTop w:val="450"/>
                              <w:marBottom w:val="0"/>
                              <w:divBdr>
                                <w:top w:val="single" w:sz="18" w:space="4" w:color="666666"/>
                                <w:left w:val="none" w:sz="0" w:space="0" w:color="auto"/>
                                <w:bottom w:val="none" w:sz="0" w:space="0" w:color="auto"/>
                                <w:right w:val="none" w:sz="0" w:space="0" w:color="auto"/>
                              </w:divBdr>
                            </w:div>
                          </w:divsChild>
                        </w:div>
                      </w:divsChild>
                    </w:div>
                  </w:divsChild>
                </w:div>
              </w:divsChild>
            </w:div>
          </w:divsChild>
        </w:div>
      </w:divsChild>
    </w:div>
    <w:div w:id="1966154047">
      <w:bodyDiv w:val="1"/>
      <w:marLeft w:val="0"/>
      <w:marRight w:val="0"/>
      <w:marTop w:val="0"/>
      <w:marBottom w:val="0"/>
      <w:divBdr>
        <w:top w:val="none" w:sz="0" w:space="0" w:color="auto"/>
        <w:left w:val="none" w:sz="0" w:space="0" w:color="auto"/>
        <w:bottom w:val="none" w:sz="0" w:space="0" w:color="auto"/>
        <w:right w:val="none" w:sz="0" w:space="0" w:color="auto"/>
      </w:divBdr>
      <w:divsChild>
        <w:div w:id="205340703">
          <w:marLeft w:val="0"/>
          <w:marRight w:val="0"/>
          <w:marTop w:val="0"/>
          <w:marBottom w:val="0"/>
          <w:divBdr>
            <w:top w:val="none" w:sz="0" w:space="0" w:color="auto"/>
            <w:left w:val="none" w:sz="0" w:space="0" w:color="auto"/>
            <w:bottom w:val="none" w:sz="0" w:space="0" w:color="auto"/>
            <w:right w:val="none" w:sz="0" w:space="0" w:color="auto"/>
          </w:divBdr>
          <w:divsChild>
            <w:div w:id="1528987117">
              <w:marLeft w:val="0"/>
              <w:marRight w:val="0"/>
              <w:marTop w:val="0"/>
              <w:marBottom w:val="0"/>
              <w:divBdr>
                <w:top w:val="none" w:sz="0" w:space="0" w:color="auto"/>
                <w:left w:val="none" w:sz="0" w:space="0" w:color="auto"/>
                <w:bottom w:val="none" w:sz="0" w:space="0" w:color="auto"/>
                <w:right w:val="none" w:sz="0" w:space="0" w:color="auto"/>
              </w:divBdr>
              <w:divsChild>
                <w:div w:id="1058675669">
                  <w:marLeft w:val="0"/>
                  <w:marRight w:val="0"/>
                  <w:marTop w:val="0"/>
                  <w:marBottom w:val="0"/>
                  <w:divBdr>
                    <w:top w:val="none" w:sz="0" w:space="0" w:color="auto"/>
                    <w:left w:val="none" w:sz="0" w:space="0" w:color="auto"/>
                    <w:bottom w:val="none" w:sz="0" w:space="0" w:color="auto"/>
                    <w:right w:val="none" w:sz="0" w:space="0" w:color="auto"/>
                  </w:divBdr>
                  <w:divsChild>
                    <w:div w:id="1584559441">
                      <w:marLeft w:val="0"/>
                      <w:marRight w:val="0"/>
                      <w:marTop w:val="0"/>
                      <w:marBottom w:val="0"/>
                      <w:divBdr>
                        <w:top w:val="none" w:sz="0" w:space="0" w:color="auto"/>
                        <w:left w:val="none" w:sz="0" w:space="0" w:color="auto"/>
                        <w:bottom w:val="none" w:sz="0" w:space="0" w:color="auto"/>
                        <w:right w:val="none" w:sz="0" w:space="0" w:color="auto"/>
                      </w:divBdr>
                      <w:divsChild>
                        <w:div w:id="141578595">
                          <w:marLeft w:val="0"/>
                          <w:marRight w:val="0"/>
                          <w:marTop w:val="0"/>
                          <w:marBottom w:val="0"/>
                          <w:divBdr>
                            <w:top w:val="none" w:sz="0" w:space="0" w:color="auto"/>
                            <w:left w:val="none" w:sz="0" w:space="0" w:color="auto"/>
                            <w:bottom w:val="none" w:sz="0" w:space="0" w:color="auto"/>
                            <w:right w:val="none" w:sz="0" w:space="0" w:color="auto"/>
                          </w:divBdr>
                          <w:divsChild>
                            <w:div w:id="1596092097">
                              <w:marLeft w:val="0"/>
                              <w:marRight w:val="0"/>
                              <w:marTop w:val="0"/>
                              <w:marBottom w:val="0"/>
                              <w:divBdr>
                                <w:top w:val="none" w:sz="0" w:space="0" w:color="auto"/>
                                <w:left w:val="none" w:sz="0" w:space="0" w:color="auto"/>
                                <w:bottom w:val="none" w:sz="0" w:space="0" w:color="auto"/>
                                <w:right w:val="none" w:sz="0" w:space="0" w:color="auto"/>
                              </w:divBdr>
                              <w:divsChild>
                                <w:div w:id="360860459">
                                  <w:marLeft w:val="0"/>
                                  <w:marRight w:val="0"/>
                                  <w:marTop w:val="0"/>
                                  <w:marBottom w:val="0"/>
                                  <w:divBdr>
                                    <w:top w:val="none" w:sz="0" w:space="0" w:color="auto"/>
                                    <w:left w:val="none" w:sz="0" w:space="0" w:color="auto"/>
                                    <w:bottom w:val="none" w:sz="0" w:space="0" w:color="auto"/>
                                    <w:right w:val="none" w:sz="0" w:space="0" w:color="auto"/>
                                  </w:divBdr>
                                  <w:divsChild>
                                    <w:div w:id="251402019">
                                      <w:marLeft w:val="0"/>
                                      <w:marRight w:val="0"/>
                                      <w:marTop w:val="0"/>
                                      <w:marBottom w:val="0"/>
                                      <w:divBdr>
                                        <w:top w:val="none" w:sz="0" w:space="0" w:color="auto"/>
                                        <w:left w:val="none" w:sz="0" w:space="0" w:color="auto"/>
                                        <w:bottom w:val="none" w:sz="0" w:space="0" w:color="auto"/>
                                        <w:right w:val="none" w:sz="0" w:space="0" w:color="auto"/>
                                      </w:divBdr>
                                      <w:divsChild>
                                        <w:div w:id="102530594">
                                          <w:marLeft w:val="0"/>
                                          <w:marRight w:val="0"/>
                                          <w:marTop w:val="0"/>
                                          <w:marBottom w:val="0"/>
                                          <w:divBdr>
                                            <w:top w:val="none" w:sz="0" w:space="0" w:color="auto"/>
                                            <w:left w:val="none" w:sz="0" w:space="0" w:color="auto"/>
                                            <w:bottom w:val="none" w:sz="0" w:space="0" w:color="auto"/>
                                            <w:right w:val="none" w:sz="0" w:space="0" w:color="auto"/>
                                          </w:divBdr>
                                          <w:divsChild>
                                            <w:div w:id="71121830">
                                              <w:marLeft w:val="0"/>
                                              <w:marRight w:val="0"/>
                                              <w:marTop w:val="0"/>
                                              <w:marBottom w:val="0"/>
                                              <w:divBdr>
                                                <w:top w:val="none" w:sz="0" w:space="0" w:color="auto"/>
                                                <w:left w:val="none" w:sz="0" w:space="0" w:color="auto"/>
                                                <w:bottom w:val="none" w:sz="0" w:space="0" w:color="auto"/>
                                                <w:right w:val="none" w:sz="0" w:space="0" w:color="auto"/>
                                              </w:divBdr>
                                            </w:div>
                                            <w:div w:id="132452079">
                                              <w:marLeft w:val="0"/>
                                              <w:marRight w:val="0"/>
                                              <w:marTop w:val="0"/>
                                              <w:marBottom w:val="0"/>
                                              <w:divBdr>
                                                <w:top w:val="none" w:sz="0" w:space="0" w:color="auto"/>
                                                <w:left w:val="none" w:sz="0" w:space="0" w:color="auto"/>
                                                <w:bottom w:val="none" w:sz="0" w:space="0" w:color="auto"/>
                                                <w:right w:val="none" w:sz="0" w:space="0" w:color="auto"/>
                                              </w:divBdr>
                                            </w:div>
                                            <w:div w:id="1788231905">
                                              <w:marLeft w:val="0"/>
                                              <w:marRight w:val="0"/>
                                              <w:marTop w:val="0"/>
                                              <w:marBottom w:val="0"/>
                                              <w:divBdr>
                                                <w:top w:val="none" w:sz="0" w:space="0" w:color="auto"/>
                                                <w:left w:val="none" w:sz="0" w:space="0" w:color="auto"/>
                                                <w:bottom w:val="none" w:sz="0" w:space="0" w:color="auto"/>
                                                <w:right w:val="none" w:sz="0" w:space="0" w:color="auto"/>
                                              </w:divBdr>
                                            </w:div>
                                          </w:divsChild>
                                        </w:div>
                                        <w:div w:id="16841635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087335975">
      <w:bodyDiv w:val="1"/>
      <w:marLeft w:val="0"/>
      <w:marRight w:val="0"/>
      <w:marTop w:val="0"/>
      <w:marBottom w:val="0"/>
      <w:divBdr>
        <w:top w:val="none" w:sz="0" w:space="0" w:color="auto"/>
        <w:left w:val="none" w:sz="0" w:space="0" w:color="auto"/>
        <w:bottom w:val="none" w:sz="0" w:space="0" w:color="auto"/>
        <w:right w:val="none" w:sz="0" w:space="0" w:color="auto"/>
      </w:divBdr>
      <w:divsChild>
        <w:div w:id="2029092112">
          <w:marLeft w:val="0"/>
          <w:marRight w:val="0"/>
          <w:marTop w:val="0"/>
          <w:marBottom w:val="0"/>
          <w:divBdr>
            <w:top w:val="none" w:sz="0" w:space="0" w:color="auto"/>
            <w:left w:val="none" w:sz="0" w:space="0" w:color="auto"/>
            <w:bottom w:val="none" w:sz="0" w:space="0" w:color="auto"/>
            <w:right w:val="none" w:sz="0" w:space="0" w:color="auto"/>
          </w:divBdr>
          <w:divsChild>
            <w:div w:id="966590951">
              <w:marLeft w:val="0"/>
              <w:marRight w:val="0"/>
              <w:marTop w:val="0"/>
              <w:marBottom w:val="0"/>
              <w:divBdr>
                <w:top w:val="none" w:sz="0" w:space="0" w:color="auto"/>
                <w:left w:val="none" w:sz="0" w:space="0" w:color="auto"/>
                <w:bottom w:val="none" w:sz="0" w:space="0" w:color="auto"/>
                <w:right w:val="none" w:sz="0" w:space="0" w:color="auto"/>
              </w:divBdr>
              <w:divsChild>
                <w:div w:id="94251469">
                  <w:marLeft w:val="0"/>
                  <w:marRight w:val="0"/>
                  <w:marTop w:val="0"/>
                  <w:marBottom w:val="0"/>
                  <w:divBdr>
                    <w:top w:val="none" w:sz="0" w:space="0" w:color="auto"/>
                    <w:left w:val="none" w:sz="0" w:space="0" w:color="auto"/>
                    <w:bottom w:val="none" w:sz="0" w:space="0" w:color="auto"/>
                    <w:right w:val="none" w:sz="0" w:space="0" w:color="auto"/>
                  </w:divBdr>
                </w:div>
                <w:div w:id="523177720">
                  <w:marLeft w:val="0"/>
                  <w:marRight w:val="0"/>
                  <w:marTop w:val="0"/>
                  <w:marBottom w:val="0"/>
                  <w:divBdr>
                    <w:top w:val="none" w:sz="0" w:space="0" w:color="auto"/>
                    <w:left w:val="none" w:sz="0" w:space="0" w:color="auto"/>
                    <w:bottom w:val="none" w:sz="0" w:space="0" w:color="auto"/>
                    <w:right w:val="none" w:sz="0" w:space="0" w:color="auto"/>
                  </w:divBdr>
                </w:div>
                <w:div w:id="1047338838">
                  <w:marLeft w:val="0"/>
                  <w:marRight w:val="0"/>
                  <w:marTop w:val="0"/>
                  <w:marBottom w:val="0"/>
                  <w:divBdr>
                    <w:top w:val="none" w:sz="0" w:space="0" w:color="auto"/>
                    <w:left w:val="none" w:sz="0" w:space="0" w:color="auto"/>
                    <w:bottom w:val="none" w:sz="0" w:space="0" w:color="auto"/>
                    <w:right w:val="none" w:sz="0" w:space="0" w:color="auto"/>
                  </w:divBdr>
                  <w:divsChild>
                    <w:div w:id="683627004">
                      <w:marLeft w:val="0"/>
                      <w:marRight w:val="0"/>
                      <w:marTop w:val="0"/>
                      <w:marBottom w:val="120"/>
                      <w:divBdr>
                        <w:top w:val="single" w:sz="6" w:space="0" w:color="CCCCCC"/>
                        <w:left w:val="single" w:sz="6" w:space="3" w:color="CCCCCC"/>
                        <w:bottom w:val="single" w:sz="6" w:space="0" w:color="CCCCCC"/>
                        <w:right w:val="single" w:sz="6" w:space="0" w:color="CCCCCC"/>
                      </w:divBdr>
                    </w:div>
                    <w:div w:id="1019889492">
                      <w:marLeft w:val="0"/>
                      <w:marRight w:val="0"/>
                      <w:marTop w:val="0"/>
                      <w:marBottom w:val="0"/>
                      <w:divBdr>
                        <w:top w:val="none" w:sz="0" w:space="0" w:color="auto"/>
                        <w:left w:val="none" w:sz="0" w:space="0" w:color="auto"/>
                        <w:bottom w:val="none" w:sz="0" w:space="0" w:color="auto"/>
                        <w:right w:val="none" w:sz="0" w:space="0" w:color="auto"/>
                      </w:divBdr>
                      <w:divsChild>
                        <w:div w:id="1718165674">
                          <w:marLeft w:val="0"/>
                          <w:marRight w:val="0"/>
                          <w:marTop w:val="0"/>
                          <w:marBottom w:val="0"/>
                          <w:divBdr>
                            <w:top w:val="none" w:sz="0" w:space="0" w:color="auto"/>
                            <w:left w:val="none" w:sz="0" w:space="0" w:color="auto"/>
                            <w:bottom w:val="none" w:sz="0" w:space="0" w:color="auto"/>
                            <w:right w:val="none" w:sz="0" w:space="0" w:color="auto"/>
                          </w:divBdr>
                          <w:divsChild>
                            <w:div w:id="3596666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4361777">
                      <w:marLeft w:val="0"/>
                      <w:marRight w:val="0"/>
                      <w:marTop w:val="0"/>
                      <w:marBottom w:val="0"/>
                      <w:divBdr>
                        <w:top w:val="none" w:sz="0" w:space="0" w:color="auto"/>
                        <w:left w:val="none" w:sz="0" w:space="0" w:color="auto"/>
                        <w:bottom w:val="none" w:sz="0" w:space="0" w:color="auto"/>
                        <w:right w:val="none" w:sz="0" w:space="0" w:color="auto"/>
                      </w:divBdr>
                    </w:div>
                    <w:div w:id="1700164580">
                      <w:marLeft w:val="0"/>
                      <w:marRight w:val="0"/>
                      <w:marTop w:val="0"/>
                      <w:marBottom w:val="0"/>
                      <w:divBdr>
                        <w:top w:val="none" w:sz="0" w:space="0" w:color="auto"/>
                        <w:left w:val="none" w:sz="0" w:space="0" w:color="auto"/>
                        <w:bottom w:val="none" w:sz="0" w:space="0" w:color="auto"/>
                        <w:right w:val="none" w:sz="0" w:space="0" w:color="auto"/>
                      </w:divBdr>
                      <w:divsChild>
                        <w:div w:id="332147451">
                          <w:marLeft w:val="0"/>
                          <w:marRight w:val="0"/>
                          <w:marTop w:val="0"/>
                          <w:marBottom w:val="0"/>
                          <w:divBdr>
                            <w:top w:val="none" w:sz="0" w:space="0" w:color="auto"/>
                            <w:left w:val="none" w:sz="0" w:space="0" w:color="auto"/>
                            <w:bottom w:val="none" w:sz="0" w:space="0" w:color="auto"/>
                            <w:right w:val="none" w:sz="0" w:space="0" w:color="auto"/>
                          </w:divBdr>
                          <w:divsChild>
                            <w:div w:id="1089471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5413718">
                      <w:marLeft w:val="0"/>
                      <w:marRight w:val="0"/>
                      <w:marTop w:val="0"/>
                      <w:marBottom w:val="0"/>
                      <w:divBdr>
                        <w:top w:val="single" w:sz="6" w:space="0" w:color="CCCCFF"/>
                        <w:left w:val="single" w:sz="6" w:space="0" w:color="CCCCFF"/>
                        <w:bottom w:val="single" w:sz="6" w:space="0" w:color="CCCCFF"/>
                        <w:right w:val="single" w:sz="6" w:space="0" w:color="CCCCFF"/>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E75B0-92D7-4984-BCFA-6EB8861CF4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16</Pages>
  <Words>8133</Words>
  <Characters>46363</Characters>
  <Application>Microsoft Office Word</Application>
  <DocSecurity>0</DocSecurity>
  <Lines>386</Lines>
  <Paragraphs>108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54388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pc1</dc:creator>
  <cp:lastModifiedBy>CEA</cp:lastModifiedBy>
  <cp:revision>2</cp:revision>
  <cp:lastPrinted>2013-01-04T10:38:00Z</cp:lastPrinted>
  <dcterms:created xsi:type="dcterms:W3CDTF">2013-01-08T15:38:00Z</dcterms:created>
  <dcterms:modified xsi:type="dcterms:W3CDTF">2013-01-08T15:38:00Z</dcterms:modified>
</cp:coreProperties>
</file>